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6EEB1" w14:textId="77777777" w:rsidR="00006F0B" w:rsidRPr="0039205D" w:rsidRDefault="00006F0B" w:rsidP="00006F0B">
      <w:pPr>
        <w:ind w:left="5760" w:firstLine="720"/>
        <w:rPr>
          <w:szCs w:val="24"/>
        </w:rPr>
      </w:pPr>
      <w:r>
        <w:rPr>
          <w:szCs w:val="24"/>
        </w:rPr>
        <w:t>________________________</w:t>
      </w:r>
    </w:p>
    <w:p w14:paraId="0C1FD7DE" w14:textId="77777777" w:rsidR="00006F0B" w:rsidRPr="0039205D" w:rsidRDefault="00006F0B" w:rsidP="00006F0B">
      <w:pPr>
        <w:rPr>
          <w:szCs w:val="24"/>
        </w:rPr>
      </w:pPr>
      <w:r>
        <w:rPr>
          <w:szCs w:val="24"/>
        </w:rPr>
        <w:tab/>
      </w:r>
      <w:r>
        <w:rPr>
          <w:szCs w:val="24"/>
        </w:rPr>
        <w:tab/>
      </w:r>
      <w:r>
        <w:rPr>
          <w:szCs w:val="24"/>
        </w:rPr>
        <w:tab/>
      </w:r>
      <w:r>
        <w:rPr>
          <w:szCs w:val="24"/>
        </w:rPr>
        <w:tab/>
        <w:t xml:space="preserve">  </w:t>
      </w:r>
      <w:r>
        <w:rPr>
          <w:szCs w:val="24"/>
        </w:rPr>
        <w:tab/>
      </w:r>
      <w:r>
        <w:rPr>
          <w:szCs w:val="24"/>
        </w:rPr>
        <w:tab/>
      </w:r>
      <w:r>
        <w:rPr>
          <w:szCs w:val="24"/>
        </w:rPr>
        <w:tab/>
        <w:t xml:space="preserve">       </w:t>
      </w:r>
      <w:r>
        <w:rPr>
          <w:szCs w:val="24"/>
        </w:rPr>
        <w:tab/>
      </w:r>
      <w:r>
        <w:rPr>
          <w:szCs w:val="24"/>
        </w:rPr>
        <w:tab/>
        <w:t>Chairman Phil Mendelson</w:t>
      </w:r>
    </w:p>
    <w:p w14:paraId="3CA911C7" w14:textId="77777777" w:rsidR="00006F0B" w:rsidRDefault="00006F0B" w:rsidP="00006F0B">
      <w:pPr>
        <w:jc w:val="center"/>
        <w:rPr>
          <w:szCs w:val="24"/>
        </w:rPr>
      </w:pPr>
    </w:p>
    <w:p w14:paraId="3D1BC6A0" w14:textId="77777777" w:rsidR="00006F0B" w:rsidRDefault="00006F0B" w:rsidP="00006F0B">
      <w:pPr>
        <w:jc w:val="center"/>
        <w:rPr>
          <w:szCs w:val="24"/>
        </w:rPr>
      </w:pPr>
    </w:p>
    <w:p w14:paraId="5757FC50" w14:textId="77777777" w:rsidR="00006F0B" w:rsidRDefault="00006F0B" w:rsidP="008B2457">
      <w:pPr>
        <w:jc w:val="center"/>
        <w:rPr>
          <w:szCs w:val="24"/>
        </w:rPr>
      </w:pPr>
    </w:p>
    <w:p w14:paraId="00A32A7F" w14:textId="77777777" w:rsidR="00006F0B" w:rsidRDefault="00006F0B" w:rsidP="008B2457">
      <w:pPr>
        <w:jc w:val="center"/>
        <w:rPr>
          <w:szCs w:val="24"/>
        </w:rPr>
      </w:pPr>
    </w:p>
    <w:p w14:paraId="58B88550" w14:textId="0015A21C" w:rsidR="00B0019E" w:rsidRPr="007474A3" w:rsidRDefault="00B0019E" w:rsidP="008B2457">
      <w:pPr>
        <w:jc w:val="center"/>
        <w:rPr>
          <w:szCs w:val="24"/>
        </w:rPr>
      </w:pPr>
      <w:r w:rsidRPr="007474A3">
        <w:rPr>
          <w:szCs w:val="24"/>
        </w:rPr>
        <w:t>A</w:t>
      </w:r>
      <w:r w:rsidR="00006F0B">
        <w:rPr>
          <w:szCs w:val="24"/>
        </w:rPr>
        <w:t xml:space="preserve"> BILL </w:t>
      </w:r>
    </w:p>
    <w:p w14:paraId="39DF2D99" w14:textId="77777777" w:rsidR="00B0019E" w:rsidRPr="007474A3" w:rsidRDefault="00B0019E">
      <w:pPr>
        <w:jc w:val="center"/>
        <w:rPr>
          <w:szCs w:val="24"/>
        </w:rPr>
      </w:pPr>
    </w:p>
    <w:p w14:paraId="41E510C3" w14:textId="3F3CE099" w:rsidR="00B0019E" w:rsidRPr="00D2712F" w:rsidRDefault="00D2712F">
      <w:pPr>
        <w:jc w:val="center"/>
        <w:rPr>
          <w:szCs w:val="24"/>
        </w:rPr>
      </w:pPr>
      <w:r w:rsidRPr="00D2712F">
        <w:rPr>
          <w:szCs w:val="24"/>
        </w:rPr>
        <w:t>_______________</w:t>
      </w:r>
      <w:r w:rsidR="008B2457" w:rsidRPr="00D2712F">
        <w:rPr>
          <w:szCs w:val="24"/>
        </w:rPr>
        <w:t xml:space="preserve"> </w:t>
      </w:r>
    </w:p>
    <w:p w14:paraId="0BC0DBF0" w14:textId="77777777" w:rsidR="00B0019E" w:rsidRPr="007474A3" w:rsidRDefault="00B0019E">
      <w:pPr>
        <w:jc w:val="center"/>
        <w:rPr>
          <w:szCs w:val="24"/>
        </w:rPr>
      </w:pPr>
    </w:p>
    <w:p w14:paraId="38B1C355" w14:textId="77777777" w:rsidR="00B0019E" w:rsidRPr="007474A3" w:rsidRDefault="00B0019E">
      <w:pPr>
        <w:jc w:val="center"/>
        <w:rPr>
          <w:szCs w:val="24"/>
        </w:rPr>
      </w:pPr>
      <w:r w:rsidRPr="007474A3">
        <w:rPr>
          <w:szCs w:val="24"/>
        </w:rPr>
        <w:t>IN THE COUNCIL OF THE DISTRICT OF COLUMBIA</w:t>
      </w:r>
    </w:p>
    <w:p w14:paraId="169F66C1" w14:textId="77777777" w:rsidR="001D04BE" w:rsidRPr="007474A3" w:rsidRDefault="001D04BE">
      <w:pPr>
        <w:jc w:val="center"/>
        <w:rPr>
          <w:szCs w:val="24"/>
        </w:rPr>
      </w:pPr>
    </w:p>
    <w:p w14:paraId="7C35B501" w14:textId="1D8132F6" w:rsidR="00B0019E" w:rsidRPr="007474A3" w:rsidRDefault="00B0019E">
      <w:pPr>
        <w:jc w:val="center"/>
        <w:rPr>
          <w:szCs w:val="24"/>
        </w:rPr>
      </w:pPr>
      <w:r w:rsidRPr="007474A3">
        <w:rPr>
          <w:szCs w:val="24"/>
        </w:rPr>
        <w:t>________</w:t>
      </w:r>
      <w:r w:rsidR="00D2712F">
        <w:rPr>
          <w:szCs w:val="24"/>
        </w:rPr>
        <w:t>____________</w:t>
      </w:r>
      <w:r w:rsidRPr="007474A3">
        <w:rPr>
          <w:szCs w:val="24"/>
        </w:rPr>
        <w:t>________</w:t>
      </w:r>
    </w:p>
    <w:p w14:paraId="336DDEBA" w14:textId="77777777" w:rsidR="00B0019E" w:rsidRPr="007474A3" w:rsidRDefault="00B0019E">
      <w:pPr>
        <w:jc w:val="center"/>
        <w:rPr>
          <w:szCs w:val="24"/>
        </w:rPr>
      </w:pPr>
    </w:p>
    <w:p w14:paraId="190646B0" w14:textId="77777777" w:rsidR="001D04BE" w:rsidRPr="007474A3" w:rsidRDefault="001D04BE">
      <w:pPr>
        <w:jc w:val="center"/>
        <w:rPr>
          <w:szCs w:val="24"/>
        </w:rPr>
      </w:pPr>
    </w:p>
    <w:p w14:paraId="20D27B7F" w14:textId="42AA8C71" w:rsidR="00365B62" w:rsidRPr="007474A3" w:rsidRDefault="000850EE" w:rsidP="00365B62">
      <w:pPr>
        <w:pStyle w:val="BodyText"/>
        <w:ind w:left="720" w:hanging="720"/>
        <w:rPr>
          <w:szCs w:val="24"/>
        </w:rPr>
      </w:pPr>
      <w:r w:rsidRPr="007474A3">
        <w:rPr>
          <w:szCs w:val="24"/>
        </w:rPr>
        <w:t xml:space="preserve">To </w:t>
      </w:r>
      <w:r w:rsidR="00604055" w:rsidRPr="007474A3">
        <w:rPr>
          <w:szCs w:val="24"/>
        </w:rPr>
        <w:t>amend</w:t>
      </w:r>
      <w:r w:rsidR="00A12075">
        <w:rPr>
          <w:szCs w:val="24"/>
        </w:rPr>
        <w:t>, on a</w:t>
      </w:r>
      <w:r w:rsidR="00006F0B">
        <w:rPr>
          <w:szCs w:val="24"/>
        </w:rPr>
        <w:t>n emergency basis, due to congressional review</w:t>
      </w:r>
      <w:r w:rsidR="00A12075">
        <w:rPr>
          <w:szCs w:val="24"/>
        </w:rPr>
        <w:t xml:space="preserve">, </w:t>
      </w:r>
      <w:r w:rsidR="004E6591" w:rsidRPr="00361D66">
        <w:rPr>
          <w:szCs w:val="24"/>
        </w:rPr>
        <w:t xml:space="preserve">the Fiscal Year 2018 Budget Support Act of 2017, </w:t>
      </w:r>
      <w:r w:rsidR="005271E5">
        <w:rPr>
          <w:szCs w:val="24"/>
        </w:rPr>
        <w:t>the Clean and Affordable Energy Act of 2008, the Homeland Security</w:t>
      </w:r>
      <w:r w:rsidR="00D118CA">
        <w:rPr>
          <w:szCs w:val="24"/>
        </w:rPr>
        <w:t>,</w:t>
      </w:r>
      <w:r w:rsidR="005271E5">
        <w:rPr>
          <w:szCs w:val="24"/>
        </w:rPr>
        <w:t xml:space="preserve"> Risk Reduction</w:t>
      </w:r>
      <w:r w:rsidR="00D118CA">
        <w:rPr>
          <w:szCs w:val="24"/>
        </w:rPr>
        <w:t>,</w:t>
      </w:r>
      <w:r w:rsidR="005271E5">
        <w:rPr>
          <w:szCs w:val="24"/>
        </w:rPr>
        <w:t xml:space="preserve"> and Preparedness Amendment Act of 2006, </w:t>
      </w:r>
      <w:r w:rsidR="0036306A">
        <w:rPr>
          <w:szCs w:val="24"/>
        </w:rPr>
        <w:t xml:space="preserve">the Protecting Pregnant Workers Fairness Act of 2014, the Healthy Schools Act of 2010, the District of Columbia </w:t>
      </w:r>
      <w:r w:rsidR="00B7648E">
        <w:rPr>
          <w:szCs w:val="24"/>
        </w:rPr>
        <w:t xml:space="preserve">Real Estate </w:t>
      </w:r>
      <w:r w:rsidR="0036306A">
        <w:rPr>
          <w:szCs w:val="24"/>
        </w:rPr>
        <w:t>Deed Recordation Tax Act,</w:t>
      </w:r>
      <w:r w:rsidR="003915AD">
        <w:rPr>
          <w:szCs w:val="24"/>
        </w:rPr>
        <w:t xml:space="preserve"> </w:t>
      </w:r>
      <w:r w:rsidR="004E6591" w:rsidRPr="00361D66">
        <w:rPr>
          <w:szCs w:val="24"/>
        </w:rPr>
        <w:t>Title 47 of the District of Columbia Official Code</w:t>
      </w:r>
      <w:r w:rsidR="00914F9A">
        <w:rPr>
          <w:szCs w:val="24"/>
        </w:rPr>
        <w:t xml:space="preserve">, </w:t>
      </w:r>
      <w:r w:rsidR="004E6591" w:rsidRPr="00361D66">
        <w:t>the Marion S. Barry Summer Youth Employment Expansion Amendment Act of 201</w:t>
      </w:r>
      <w:r w:rsidR="0036306A">
        <w:t xml:space="preserve">6, </w:t>
      </w:r>
      <w:r w:rsidR="00970D90">
        <w:t xml:space="preserve">the Early Childhood and School-Based Behavioral Health Infrastructure Act of 2012, </w:t>
      </w:r>
      <w:r w:rsidR="0036306A">
        <w:t xml:space="preserve">the </w:t>
      </w:r>
      <w:r w:rsidR="0036306A" w:rsidRPr="00EB2814">
        <w:rPr>
          <w:rFonts w:eastAsia="Calibri"/>
          <w:color w:val="000000" w:themeColor="text1"/>
          <w:szCs w:val="24"/>
        </w:rPr>
        <w:t>Uniform Per Student Funding Formula for Public Schools and Public Charter Schools Act of 1998</w:t>
      </w:r>
      <w:r w:rsidR="00970D90">
        <w:rPr>
          <w:rFonts w:eastAsia="Calibri"/>
          <w:color w:val="000000" w:themeColor="text1"/>
          <w:szCs w:val="24"/>
        </w:rPr>
        <w:t>, and Title 5-E of the District of Columbia Municipal Regulations</w:t>
      </w:r>
      <w:r w:rsidR="004E6591" w:rsidRPr="00361D66">
        <w:rPr>
          <w:szCs w:val="24"/>
        </w:rPr>
        <w:t xml:space="preserve"> to clarify provisions supporting the Fiscal Year 2018 budget; to provide funding for the collective bargaining agreement between the </w:t>
      </w:r>
      <w:r w:rsidR="004E6591" w:rsidRPr="00361D66">
        <w:t>District of Columbia Public Schools and the Washington Teachers</w:t>
      </w:r>
      <w:r w:rsidR="0036306A">
        <w:t>’</w:t>
      </w:r>
      <w:r w:rsidR="004E6591" w:rsidRPr="00361D66">
        <w:t xml:space="preserve"> Union and additional funding to District of Columbia public charter schools</w:t>
      </w:r>
      <w:r w:rsidR="004E6591" w:rsidRPr="00361D66">
        <w:rPr>
          <w:szCs w:val="24"/>
        </w:rPr>
        <w:t xml:space="preserve">; and to authorize certain one-time payments to </w:t>
      </w:r>
      <w:r w:rsidR="004E6591">
        <w:rPr>
          <w:szCs w:val="24"/>
        </w:rPr>
        <w:t xml:space="preserve">District of Columbia </w:t>
      </w:r>
      <w:r w:rsidR="004E6591" w:rsidRPr="00361D66">
        <w:rPr>
          <w:szCs w:val="24"/>
        </w:rPr>
        <w:t>public charter schools.</w:t>
      </w:r>
    </w:p>
    <w:p w14:paraId="45D87B65" w14:textId="77777777" w:rsidR="00AE49C5" w:rsidRPr="007474A3" w:rsidRDefault="00AE49C5">
      <w:pPr>
        <w:pStyle w:val="BodyText"/>
        <w:spacing w:after="0"/>
        <w:ind w:left="720" w:hanging="720"/>
        <w:rPr>
          <w:szCs w:val="24"/>
        </w:rPr>
      </w:pPr>
    </w:p>
    <w:p w14:paraId="1D02BDBE" w14:textId="1C790A0B" w:rsidR="004E7EDA" w:rsidRDefault="00B0019E" w:rsidP="00006F0B">
      <w:pPr>
        <w:spacing w:line="480" w:lineRule="auto"/>
      </w:pPr>
      <w:r w:rsidRPr="007474A3">
        <w:tab/>
        <w:t xml:space="preserve">BE IT ENACTED BY THE COUNCIL OF THE DISTRICT OF COLUMBIA, </w:t>
      </w:r>
      <w:proofErr w:type="gramStart"/>
      <w:r w:rsidRPr="007474A3">
        <w:t>That</w:t>
      </w:r>
      <w:proofErr w:type="gramEnd"/>
      <w:r w:rsidRPr="007474A3">
        <w:t xml:space="preserve"> this act may be cited as the “</w:t>
      </w:r>
      <w:r w:rsidR="004E7EDA" w:rsidRPr="007474A3">
        <w:t>Fiscal Year 201</w:t>
      </w:r>
      <w:r w:rsidR="00207976">
        <w:t>8</w:t>
      </w:r>
      <w:r w:rsidR="002F29C7" w:rsidRPr="007474A3">
        <w:t xml:space="preserve"> </w:t>
      </w:r>
      <w:r w:rsidR="004E7EDA" w:rsidRPr="007474A3">
        <w:t>Budget Support Clarification</w:t>
      </w:r>
      <w:r w:rsidR="008A2144" w:rsidRPr="007474A3">
        <w:t xml:space="preserve"> </w:t>
      </w:r>
      <w:r w:rsidR="00006F0B">
        <w:t xml:space="preserve">Congressional Review Emergency </w:t>
      </w:r>
      <w:r w:rsidR="00D52FEB" w:rsidRPr="007474A3">
        <w:t xml:space="preserve">Amendment </w:t>
      </w:r>
      <w:r w:rsidR="008A2144" w:rsidRPr="007474A3">
        <w:t>Act of 201</w:t>
      </w:r>
      <w:r w:rsidR="00207976">
        <w:t>7</w:t>
      </w:r>
      <w:r w:rsidRPr="007474A3">
        <w:t>”.</w:t>
      </w:r>
    </w:p>
    <w:p w14:paraId="008CD7FF" w14:textId="77777777" w:rsidR="00D2712F" w:rsidRDefault="00D2712F" w:rsidP="00006F0B">
      <w:pPr>
        <w:spacing w:line="480" w:lineRule="auto"/>
      </w:pPr>
    </w:p>
    <w:p w14:paraId="68520311" w14:textId="77777777" w:rsidR="004E6591" w:rsidRDefault="004E6591" w:rsidP="00006F0B">
      <w:pPr>
        <w:spacing w:line="480" w:lineRule="auto"/>
        <w:ind w:firstLine="720"/>
        <w:rPr>
          <w:spacing w:val="-3"/>
        </w:rPr>
      </w:pPr>
      <w:r>
        <w:rPr>
          <w:spacing w:val="-3"/>
        </w:rPr>
        <w:t>TITLE I. BUDGET SUPPORT ACT CLARIFICATIONS</w:t>
      </w:r>
    </w:p>
    <w:p w14:paraId="3CB91C1D" w14:textId="77777777" w:rsidR="005B52C4" w:rsidRDefault="004E6591" w:rsidP="00006F0B">
      <w:pPr>
        <w:spacing w:line="480" w:lineRule="auto"/>
        <w:ind w:firstLine="720"/>
      </w:pPr>
      <w:r w:rsidRPr="007474A3">
        <w:rPr>
          <w:spacing w:val="-3"/>
        </w:rPr>
        <w:t xml:space="preserve">Sec. </w:t>
      </w:r>
      <w:r>
        <w:rPr>
          <w:spacing w:val="-3"/>
        </w:rPr>
        <w:t>101</w:t>
      </w:r>
      <w:r w:rsidRPr="007474A3">
        <w:rPr>
          <w:spacing w:val="-3"/>
        </w:rPr>
        <w:t xml:space="preserve">. </w:t>
      </w:r>
      <w:r w:rsidR="005B52C4" w:rsidRPr="00F547B4">
        <w:t>Section 210(c) of the Clean and Affordable Energy Act of 2008, effective October 22, 2008 (D.C. Law 17-250; D.C. Official Code § 8-1774.10(c)), is amended as follows:</w:t>
      </w:r>
    </w:p>
    <w:p w14:paraId="24784FFD" w14:textId="57711AC7" w:rsidR="005B52C4" w:rsidRDefault="005B52C4" w:rsidP="00006F0B">
      <w:pPr>
        <w:spacing w:line="480" w:lineRule="auto"/>
        <w:ind w:firstLine="720"/>
      </w:pPr>
      <w:r>
        <w:lastRenderedPageBreak/>
        <w:t xml:space="preserve">(a) Paragraph (9) is amended by striking the </w:t>
      </w:r>
      <w:r w:rsidR="00BA1877">
        <w:t>phrase</w:t>
      </w:r>
      <w:r>
        <w:t xml:space="preserve"> “</w:t>
      </w:r>
      <w:r w:rsidR="00BA1877">
        <w:t xml:space="preserve">; </w:t>
      </w:r>
      <w:r>
        <w:t>and”</w:t>
      </w:r>
      <w:r w:rsidR="00BA1877">
        <w:t xml:space="preserve"> and inserting a semicolon in its place</w:t>
      </w:r>
      <w:r>
        <w:t>.</w:t>
      </w:r>
    </w:p>
    <w:p w14:paraId="36A17361" w14:textId="3049EFD2" w:rsidR="005B52C4" w:rsidRDefault="005B52C4" w:rsidP="00006F0B">
      <w:pPr>
        <w:spacing w:line="480" w:lineRule="auto"/>
        <w:ind w:firstLine="720"/>
      </w:pPr>
      <w:r>
        <w:t xml:space="preserve">(b) Paragraph (10) is amended by striking the period </w:t>
      </w:r>
      <w:r w:rsidR="00BA1877">
        <w:t xml:space="preserve">at the end </w:t>
      </w:r>
      <w:r>
        <w:t>and inserting the phrase “; and” in its place.</w:t>
      </w:r>
    </w:p>
    <w:p w14:paraId="6AD41B3D" w14:textId="77777777" w:rsidR="005B52C4" w:rsidRDefault="005B52C4" w:rsidP="00006F0B">
      <w:pPr>
        <w:spacing w:line="480" w:lineRule="auto"/>
        <w:ind w:firstLine="720"/>
      </w:pPr>
      <w:r>
        <w:t>(c) A new paragraph (11) is added to read as follows:</w:t>
      </w:r>
    </w:p>
    <w:p w14:paraId="746576AC" w14:textId="6625EC8B" w:rsidR="005B52C4" w:rsidRDefault="005B52C4" w:rsidP="00006F0B">
      <w:pPr>
        <w:spacing w:line="480" w:lineRule="auto"/>
        <w:ind w:firstLine="720"/>
      </w:pPr>
      <w:r>
        <w:tab/>
        <w:t xml:space="preserve">“(11) </w:t>
      </w:r>
      <w:r w:rsidRPr="00873AB1">
        <w:t>For the fiscal year beginning October 1, 2017 and ending September 30, 201</w:t>
      </w:r>
      <w:r>
        <w:t>8</w:t>
      </w:r>
      <w:r w:rsidRPr="00873AB1">
        <w:t>, supporting DOEE activities in the amount of $242,412.</w:t>
      </w:r>
      <w:r>
        <w:t>”.</w:t>
      </w:r>
    </w:p>
    <w:p w14:paraId="3646EFD5" w14:textId="77777777" w:rsidR="00D2712F" w:rsidRDefault="00D2712F" w:rsidP="00006F0B">
      <w:pPr>
        <w:spacing w:line="480" w:lineRule="auto"/>
        <w:ind w:firstLine="720"/>
      </w:pPr>
    </w:p>
    <w:p w14:paraId="62AF65CD" w14:textId="77777777" w:rsidR="005B52C4" w:rsidRPr="000D1057" w:rsidRDefault="005B52C4" w:rsidP="00006F0B">
      <w:pPr>
        <w:spacing w:line="480" w:lineRule="auto"/>
        <w:ind w:firstLine="720"/>
        <w:rPr>
          <w:szCs w:val="24"/>
        </w:rPr>
      </w:pPr>
      <w:r>
        <w:t xml:space="preserve">Sec. 102. </w:t>
      </w:r>
      <w:r w:rsidRPr="000D1057">
        <w:rPr>
          <w:szCs w:val="24"/>
        </w:rPr>
        <w:t>Section 501 of the Homeland Security, Risk Reduction, and Preparedness Amendment Act of 2006, effective March 14, 2007 (D.C. Law 16-262; D.C. Official Code § 22-4251)</w:t>
      </w:r>
      <w:r>
        <w:rPr>
          <w:szCs w:val="24"/>
        </w:rPr>
        <w:t>,</w:t>
      </w:r>
      <w:r w:rsidRPr="000D1057">
        <w:rPr>
          <w:szCs w:val="24"/>
        </w:rPr>
        <w:t xml:space="preserve"> is amended as follows:</w:t>
      </w:r>
    </w:p>
    <w:p w14:paraId="7DE14E2C" w14:textId="77777777" w:rsidR="005B52C4" w:rsidRPr="000D1057" w:rsidRDefault="005B52C4" w:rsidP="00006F0B">
      <w:pPr>
        <w:spacing w:line="480" w:lineRule="auto"/>
        <w:ind w:firstLine="720"/>
        <w:rPr>
          <w:szCs w:val="24"/>
        </w:rPr>
      </w:pPr>
      <w:r w:rsidRPr="000D1057">
        <w:rPr>
          <w:szCs w:val="24"/>
        </w:rPr>
        <w:t>(a) Subsection (b)</w:t>
      </w:r>
      <w:r>
        <w:rPr>
          <w:szCs w:val="24"/>
        </w:rPr>
        <w:t>(2) and (3)</w:t>
      </w:r>
      <w:r w:rsidRPr="000D1057">
        <w:rPr>
          <w:szCs w:val="24"/>
        </w:rPr>
        <w:t xml:space="preserve"> </w:t>
      </w:r>
      <w:r>
        <w:rPr>
          <w:szCs w:val="24"/>
        </w:rPr>
        <w:t>is</w:t>
      </w:r>
      <w:r w:rsidRPr="000D1057">
        <w:rPr>
          <w:szCs w:val="24"/>
        </w:rPr>
        <w:t xml:space="preserve"> amended </w:t>
      </w:r>
      <w:r>
        <w:rPr>
          <w:szCs w:val="24"/>
        </w:rPr>
        <w:t xml:space="preserve">to read </w:t>
      </w:r>
      <w:r w:rsidRPr="000D1057">
        <w:rPr>
          <w:szCs w:val="24"/>
        </w:rPr>
        <w:t>as follows:</w:t>
      </w:r>
    </w:p>
    <w:p w14:paraId="4780F2FB" w14:textId="77777777" w:rsidR="005B52C4" w:rsidRPr="000D1057" w:rsidRDefault="005B52C4" w:rsidP="00006F0B">
      <w:pPr>
        <w:spacing w:line="480" w:lineRule="auto"/>
        <w:rPr>
          <w:szCs w:val="24"/>
        </w:rPr>
      </w:pPr>
      <w:r w:rsidRPr="000D1057">
        <w:rPr>
          <w:szCs w:val="24"/>
        </w:rPr>
        <w:tab/>
      </w:r>
      <w:r w:rsidRPr="000D1057">
        <w:rPr>
          <w:szCs w:val="24"/>
        </w:rPr>
        <w:tab/>
        <w:t xml:space="preserve">“(2) Of the 20 representatives, 10 shall be appointed by the Mayor and 10 shall be appointed by the Chairman </w:t>
      </w:r>
      <w:r>
        <w:rPr>
          <w:szCs w:val="24"/>
        </w:rPr>
        <w:t xml:space="preserve">of the Council </w:t>
      </w:r>
      <w:r w:rsidRPr="000D1057">
        <w:rPr>
          <w:szCs w:val="24"/>
        </w:rPr>
        <w:t>no later than 60 days after October 1, 2017.</w:t>
      </w:r>
    </w:p>
    <w:p w14:paraId="38F670E8" w14:textId="77777777" w:rsidR="005B52C4" w:rsidRPr="000D1057" w:rsidRDefault="005B52C4" w:rsidP="00006F0B">
      <w:pPr>
        <w:spacing w:line="480" w:lineRule="auto"/>
        <w:rPr>
          <w:szCs w:val="24"/>
        </w:rPr>
      </w:pPr>
      <w:r w:rsidRPr="000D1057">
        <w:rPr>
          <w:szCs w:val="24"/>
        </w:rPr>
        <w:tab/>
      </w:r>
      <w:r w:rsidRPr="000D1057">
        <w:rPr>
          <w:szCs w:val="24"/>
        </w:rPr>
        <w:tab/>
        <w:t xml:space="preserve">“(3) The Mayor and the Chairman </w:t>
      </w:r>
      <w:r>
        <w:rPr>
          <w:szCs w:val="24"/>
        </w:rPr>
        <w:t xml:space="preserve">of the Council </w:t>
      </w:r>
      <w:r w:rsidRPr="000D1057">
        <w:rPr>
          <w:szCs w:val="24"/>
        </w:rPr>
        <w:t>shall each designate a co-chair of the Task Force, one each from the government and non-government sectors.”.</w:t>
      </w:r>
    </w:p>
    <w:p w14:paraId="6156596F" w14:textId="77777777" w:rsidR="005B52C4" w:rsidRPr="000D1057" w:rsidRDefault="005B52C4" w:rsidP="00006F0B">
      <w:pPr>
        <w:spacing w:line="480" w:lineRule="auto"/>
        <w:ind w:firstLine="720"/>
        <w:rPr>
          <w:szCs w:val="24"/>
        </w:rPr>
      </w:pPr>
      <w:r w:rsidRPr="000D1057">
        <w:rPr>
          <w:szCs w:val="24"/>
        </w:rPr>
        <w:t>(b) Subsection (c) is amended to read as follows:</w:t>
      </w:r>
    </w:p>
    <w:p w14:paraId="69CEA9E5" w14:textId="48B1D968" w:rsidR="005B52C4" w:rsidRDefault="005B52C4" w:rsidP="00006F0B">
      <w:pPr>
        <w:spacing w:line="480" w:lineRule="auto"/>
        <w:ind w:firstLine="720"/>
        <w:rPr>
          <w:szCs w:val="24"/>
        </w:rPr>
      </w:pPr>
      <w:r w:rsidRPr="000D1057">
        <w:rPr>
          <w:szCs w:val="24"/>
        </w:rPr>
        <w:t>“(c) No later than October 1, 2018, the Task Force shall hold at least 3 public meetings and shall present a report to the Mayor and the Council.”.</w:t>
      </w:r>
    </w:p>
    <w:p w14:paraId="5A6B9FEF" w14:textId="77777777" w:rsidR="00D2712F" w:rsidRDefault="00D2712F" w:rsidP="00006F0B">
      <w:pPr>
        <w:spacing w:line="480" w:lineRule="auto"/>
        <w:ind w:firstLine="720"/>
        <w:rPr>
          <w:spacing w:val="-3"/>
        </w:rPr>
      </w:pPr>
    </w:p>
    <w:p w14:paraId="2D4C7ED1" w14:textId="1A1065C4" w:rsidR="004E6591" w:rsidRDefault="005B52C4" w:rsidP="00006F0B">
      <w:pPr>
        <w:spacing w:line="480" w:lineRule="auto"/>
        <w:ind w:firstLine="720"/>
        <w:rPr>
          <w:spacing w:val="-3"/>
          <w:szCs w:val="24"/>
        </w:rPr>
      </w:pPr>
      <w:r>
        <w:rPr>
          <w:spacing w:val="-3"/>
        </w:rPr>
        <w:t xml:space="preserve">Sec. 103. </w:t>
      </w:r>
      <w:r w:rsidR="004E6591" w:rsidRPr="00B56DDC">
        <w:rPr>
          <w:szCs w:val="24"/>
        </w:rPr>
        <w:t xml:space="preserve">The Protecting Pregnant Workers Fairness Act of 2014, effective March 3, 2015 (D.C. Law 20-168; D.C. Official Code § 32-1231.01 </w:t>
      </w:r>
      <w:r w:rsidR="004E6591" w:rsidRPr="00B56DDC">
        <w:rPr>
          <w:i/>
          <w:szCs w:val="24"/>
        </w:rPr>
        <w:t>et seq</w:t>
      </w:r>
      <w:r w:rsidR="004E6591" w:rsidRPr="00B56DDC">
        <w:rPr>
          <w:szCs w:val="24"/>
        </w:rPr>
        <w:t>.), is amended as follows:</w:t>
      </w:r>
    </w:p>
    <w:p w14:paraId="0FC49665" w14:textId="702A691F" w:rsidR="004E6591" w:rsidRDefault="00C8505C" w:rsidP="00006F0B">
      <w:pPr>
        <w:spacing w:line="480" w:lineRule="auto"/>
        <w:ind w:firstLine="720"/>
      </w:pPr>
      <w:r>
        <w:lastRenderedPageBreak/>
        <w:t>(a) Section 8</w:t>
      </w:r>
      <w:r w:rsidR="00167780">
        <w:t>(b)(3)(B)</w:t>
      </w:r>
      <w:r>
        <w:t xml:space="preserve"> (D.C. Official Code</w:t>
      </w:r>
      <w:r w:rsidR="00167780">
        <w:t xml:space="preserve"> </w:t>
      </w:r>
      <w:r w:rsidR="00167780" w:rsidRPr="00B56DDC">
        <w:rPr>
          <w:szCs w:val="24"/>
        </w:rPr>
        <w:t>§ 32-1231.0</w:t>
      </w:r>
      <w:r w:rsidR="00167780">
        <w:rPr>
          <w:szCs w:val="24"/>
        </w:rPr>
        <w:t>7(b)(3)(B)</w:t>
      </w:r>
      <w:r w:rsidR="004C44A7">
        <w:rPr>
          <w:szCs w:val="24"/>
        </w:rPr>
        <w:t>)</w:t>
      </w:r>
      <w:r w:rsidR="00167780">
        <w:rPr>
          <w:szCs w:val="24"/>
        </w:rPr>
        <w:t xml:space="preserve"> </w:t>
      </w:r>
      <w:r w:rsidR="004E6591">
        <w:t>is amended by striking the phrase “examiner at set forth” and inserting the ph</w:t>
      </w:r>
      <w:r w:rsidR="00853FF2">
        <w:t>r</w:t>
      </w:r>
      <w:r w:rsidR="004E6591">
        <w:t>ase “examiner as set forth” in its place.</w:t>
      </w:r>
    </w:p>
    <w:p w14:paraId="03CA518C" w14:textId="36CC9E32" w:rsidR="004E6591" w:rsidRDefault="004E6591" w:rsidP="00006F0B">
      <w:pPr>
        <w:spacing w:line="480" w:lineRule="auto"/>
        <w:ind w:firstLine="720"/>
      </w:pPr>
      <w:r>
        <w:t>(</w:t>
      </w:r>
      <w:r w:rsidR="00167780">
        <w:t>b</w:t>
      </w:r>
      <w:r>
        <w:t xml:space="preserve">) </w:t>
      </w:r>
      <w:r w:rsidR="00167780">
        <w:t xml:space="preserve">Section 9(b) (D.C. Official Code </w:t>
      </w:r>
      <w:r w:rsidR="00167780" w:rsidRPr="00B56DDC">
        <w:rPr>
          <w:szCs w:val="24"/>
        </w:rPr>
        <w:t>§ 32-1231.0</w:t>
      </w:r>
      <w:r w:rsidR="00167780">
        <w:rPr>
          <w:szCs w:val="24"/>
        </w:rPr>
        <w:t>8(b)</w:t>
      </w:r>
      <w:r w:rsidR="006A29AB">
        <w:rPr>
          <w:szCs w:val="24"/>
        </w:rPr>
        <w:t>)</w:t>
      </w:r>
      <w:r>
        <w:t xml:space="preserve"> is amended by striking the phrase “a determination of an independent hearing examiner” and inserting the phrase “a final decision of the Director” in its place.</w:t>
      </w:r>
    </w:p>
    <w:p w14:paraId="6DE38C28" w14:textId="77777777" w:rsidR="00D2712F" w:rsidRDefault="00D2712F" w:rsidP="00006F0B">
      <w:pPr>
        <w:spacing w:line="480" w:lineRule="auto"/>
        <w:ind w:firstLine="720"/>
      </w:pPr>
    </w:p>
    <w:p w14:paraId="3F48E776" w14:textId="27B294DC" w:rsidR="004E6591" w:rsidRDefault="00167780" w:rsidP="00006F0B">
      <w:pPr>
        <w:spacing w:line="480" w:lineRule="auto"/>
        <w:ind w:firstLine="720"/>
      </w:pPr>
      <w:r>
        <w:t>Sec. 10</w:t>
      </w:r>
      <w:r w:rsidR="006A29AB">
        <w:t>4</w:t>
      </w:r>
      <w:r>
        <w:t xml:space="preserve">. </w:t>
      </w:r>
      <w:r w:rsidR="00C340BF">
        <w:t>Section 102(c)(6) of t</w:t>
      </w:r>
      <w:r w:rsidR="00C340BF" w:rsidRPr="00EB2814">
        <w:rPr>
          <w:color w:val="000000" w:themeColor="text1"/>
          <w:szCs w:val="24"/>
        </w:rPr>
        <w:t>he Healthy Schools Act of 2010, effective July 27, 2010 (D.C. Law 18-209; D.C. Official Code § 38-821.0</w:t>
      </w:r>
      <w:r w:rsidR="00C340BF">
        <w:rPr>
          <w:color w:val="000000" w:themeColor="text1"/>
          <w:szCs w:val="24"/>
        </w:rPr>
        <w:t>2(c)(6)</w:t>
      </w:r>
      <w:r w:rsidR="00C340BF" w:rsidRPr="00EB2814">
        <w:rPr>
          <w:color w:val="000000" w:themeColor="text1"/>
          <w:szCs w:val="24"/>
        </w:rPr>
        <w:t>)</w:t>
      </w:r>
      <w:r w:rsidR="00D118CA">
        <w:rPr>
          <w:color w:val="000000" w:themeColor="text1"/>
          <w:szCs w:val="24"/>
        </w:rPr>
        <w:t>,</w:t>
      </w:r>
      <w:r w:rsidR="004E6591">
        <w:t xml:space="preserve"> is amended to read as follows:</w:t>
      </w:r>
    </w:p>
    <w:p w14:paraId="5B42E0E3" w14:textId="031C0ED4" w:rsidR="004E6591" w:rsidRDefault="004E6591" w:rsidP="00006F0B">
      <w:pPr>
        <w:spacing w:line="480" w:lineRule="auto"/>
        <w:ind w:firstLine="1440"/>
        <w:rPr>
          <w:rFonts w:eastAsia="Calibri"/>
          <w:szCs w:val="24"/>
        </w:rPr>
      </w:pPr>
      <w:r>
        <w:t xml:space="preserve">“(6) </w:t>
      </w:r>
      <w:r w:rsidRPr="00376514">
        <w:rPr>
          <w:rFonts w:eastAsia="Calibri"/>
          <w:szCs w:val="24"/>
        </w:rPr>
        <w:t>To increase physical activity in schools, the Office of the State Superintendent of Education shall make grants available, subject to the availability of funds in the Fund, through a competitive process</w:t>
      </w:r>
      <w:r>
        <w:rPr>
          <w:rFonts w:eastAsia="Calibri"/>
          <w:szCs w:val="24"/>
        </w:rPr>
        <w:t xml:space="preserve"> or a formula grants process </w:t>
      </w:r>
      <w:r w:rsidRPr="00376514">
        <w:rPr>
          <w:rFonts w:eastAsia="Calibri"/>
          <w:szCs w:val="24"/>
        </w:rPr>
        <w:t>to public schools</w:t>
      </w:r>
      <w:r>
        <w:rPr>
          <w:rFonts w:eastAsia="Calibri"/>
          <w:szCs w:val="24"/>
        </w:rPr>
        <w:t xml:space="preserve">, </w:t>
      </w:r>
      <w:r w:rsidRPr="00376514">
        <w:rPr>
          <w:rFonts w:eastAsia="Calibri"/>
          <w:szCs w:val="24"/>
        </w:rPr>
        <w:t>public charter schools</w:t>
      </w:r>
      <w:r>
        <w:rPr>
          <w:rFonts w:eastAsia="Calibri"/>
          <w:szCs w:val="24"/>
        </w:rPr>
        <w:t xml:space="preserve">, or organizations that provide </w:t>
      </w:r>
      <w:r w:rsidRPr="00257BC1">
        <w:rPr>
          <w:rFonts w:eastAsia="Calibri"/>
          <w:szCs w:val="24"/>
        </w:rPr>
        <w:t>technical assistance to public schools and public charter schools to increase the amount of physical activity in schools</w:t>
      </w:r>
      <w:r w:rsidRPr="00376514">
        <w:rPr>
          <w:rFonts w:eastAsia="Calibri"/>
          <w:szCs w:val="24"/>
        </w:rPr>
        <w:t xml:space="preserve">; provided, that </w:t>
      </w:r>
      <w:r w:rsidR="00954261">
        <w:rPr>
          <w:rFonts w:eastAsia="Calibri"/>
          <w:szCs w:val="24"/>
        </w:rPr>
        <w:t xml:space="preserve">a </w:t>
      </w:r>
      <w:r w:rsidRPr="00376514">
        <w:rPr>
          <w:rFonts w:eastAsia="Calibri"/>
          <w:szCs w:val="24"/>
        </w:rPr>
        <w:t xml:space="preserve">school </w:t>
      </w:r>
      <w:r>
        <w:rPr>
          <w:rFonts w:eastAsia="Calibri"/>
          <w:szCs w:val="24"/>
        </w:rPr>
        <w:t xml:space="preserve">receiving </w:t>
      </w:r>
      <w:r w:rsidR="00954261">
        <w:rPr>
          <w:rFonts w:eastAsia="Calibri"/>
          <w:szCs w:val="24"/>
        </w:rPr>
        <w:t>a</w:t>
      </w:r>
      <w:r>
        <w:rPr>
          <w:rFonts w:eastAsia="Calibri"/>
          <w:szCs w:val="24"/>
        </w:rPr>
        <w:t xml:space="preserve"> grant award </w:t>
      </w:r>
      <w:r w:rsidRPr="00376514">
        <w:rPr>
          <w:rFonts w:eastAsia="Calibri"/>
          <w:szCs w:val="24"/>
        </w:rPr>
        <w:t xml:space="preserve">shall </w:t>
      </w:r>
      <w:r>
        <w:rPr>
          <w:rFonts w:eastAsia="Calibri"/>
          <w:szCs w:val="24"/>
        </w:rPr>
        <w:t xml:space="preserve">seek to </w:t>
      </w:r>
      <w:r w:rsidRPr="00376514">
        <w:rPr>
          <w:rFonts w:eastAsia="Calibri"/>
          <w:szCs w:val="24"/>
        </w:rPr>
        <w:t xml:space="preserve">meet the requirements of </w:t>
      </w:r>
      <w:r>
        <w:rPr>
          <w:rFonts w:eastAsia="Calibri"/>
          <w:szCs w:val="24"/>
        </w:rPr>
        <w:t xml:space="preserve">section 402 </w:t>
      </w:r>
      <w:r w:rsidR="00954261">
        <w:rPr>
          <w:rFonts w:eastAsia="Calibri"/>
          <w:szCs w:val="24"/>
        </w:rPr>
        <w:t>,</w:t>
      </w:r>
      <w:r w:rsidRPr="00376514">
        <w:rPr>
          <w:rFonts w:eastAsia="Calibri"/>
          <w:szCs w:val="24"/>
        </w:rPr>
        <w:t xml:space="preserve"> and seek to increase the amount of physical activity in which </w:t>
      </w:r>
      <w:r w:rsidR="00954261">
        <w:rPr>
          <w:rFonts w:eastAsia="Calibri"/>
          <w:szCs w:val="24"/>
        </w:rPr>
        <w:t>its</w:t>
      </w:r>
      <w:r w:rsidRPr="00376514">
        <w:rPr>
          <w:rFonts w:eastAsia="Calibri"/>
          <w:szCs w:val="24"/>
        </w:rPr>
        <w:t xml:space="preserve"> students engage.</w:t>
      </w:r>
      <w:r>
        <w:rPr>
          <w:rFonts w:eastAsia="Calibri"/>
          <w:szCs w:val="24"/>
        </w:rPr>
        <w:t>”.</w:t>
      </w:r>
    </w:p>
    <w:p w14:paraId="4D84CFCB" w14:textId="77777777" w:rsidR="00D2712F" w:rsidRDefault="00D2712F" w:rsidP="00006F0B">
      <w:pPr>
        <w:spacing w:line="480" w:lineRule="auto"/>
        <w:ind w:firstLine="1440"/>
      </w:pPr>
    </w:p>
    <w:p w14:paraId="6796AEDF" w14:textId="6671874C" w:rsidR="00926770" w:rsidRPr="00EB2814" w:rsidRDefault="00C340BF" w:rsidP="00006F0B">
      <w:pPr>
        <w:spacing w:line="480" w:lineRule="auto"/>
        <w:ind w:firstLine="720"/>
        <w:rPr>
          <w:color w:val="000000" w:themeColor="text1"/>
          <w:szCs w:val="24"/>
        </w:rPr>
      </w:pPr>
      <w:r>
        <w:t>Sec. 10</w:t>
      </w:r>
      <w:r w:rsidR="00BC19D0">
        <w:t>5</w:t>
      </w:r>
      <w:r>
        <w:t xml:space="preserve">. </w:t>
      </w:r>
      <w:r w:rsidR="00926770" w:rsidRPr="00EB2814">
        <w:rPr>
          <w:color w:val="000000" w:themeColor="text1"/>
          <w:szCs w:val="24"/>
        </w:rPr>
        <w:t>The District of Columbia</w:t>
      </w:r>
      <w:r w:rsidR="00B7648E">
        <w:rPr>
          <w:color w:val="000000" w:themeColor="text1"/>
          <w:szCs w:val="24"/>
        </w:rPr>
        <w:t xml:space="preserve"> Real Estate</w:t>
      </w:r>
      <w:r w:rsidR="00926770" w:rsidRPr="00EB2814">
        <w:rPr>
          <w:color w:val="000000" w:themeColor="text1"/>
          <w:szCs w:val="24"/>
        </w:rPr>
        <w:t xml:space="preserve"> Deed Recordation Tax Act, approved March 2, 1962 (76 Stat. 11; D.C. Official Code § 42-1101 </w:t>
      </w:r>
      <w:r w:rsidR="00926770" w:rsidRPr="00EB2814">
        <w:rPr>
          <w:i/>
          <w:color w:val="000000" w:themeColor="text1"/>
          <w:szCs w:val="24"/>
        </w:rPr>
        <w:t>et seq.</w:t>
      </w:r>
      <w:r w:rsidR="00926770" w:rsidRPr="00EB2814">
        <w:rPr>
          <w:color w:val="000000" w:themeColor="text1"/>
          <w:szCs w:val="24"/>
        </w:rPr>
        <w:t>), is amended as follows:</w:t>
      </w:r>
    </w:p>
    <w:p w14:paraId="7D1AAD07" w14:textId="77777777" w:rsidR="0025644E" w:rsidRPr="00EB2814" w:rsidRDefault="004E6591" w:rsidP="00006F0B">
      <w:pPr>
        <w:spacing w:line="480" w:lineRule="auto"/>
        <w:ind w:firstLine="720"/>
        <w:rPr>
          <w:color w:val="000000" w:themeColor="text1"/>
          <w:szCs w:val="24"/>
        </w:rPr>
      </w:pPr>
      <w:r>
        <w:t>(</w:t>
      </w:r>
      <w:r w:rsidR="0025644E">
        <w:t>a</w:t>
      </w:r>
      <w:r>
        <w:t xml:space="preserve">) </w:t>
      </w:r>
      <w:r w:rsidR="0025644E">
        <w:t xml:space="preserve">Section 301 (D.C. Official Code </w:t>
      </w:r>
      <w:r w:rsidR="0025644E" w:rsidRPr="00EB2814">
        <w:rPr>
          <w:color w:val="000000" w:themeColor="text1"/>
          <w:szCs w:val="24"/>
        </w:rPr>
        <w:t>§ 42-1101) is amended as follows:</w:t>
      </w:r>
    </w:p>
    <w:p w14:paraId="2A8D908B" w14:textId="06CAD54F" w:rsidR="004E6591" w:rsidRDefault="0025644E" w:rsidP="00006F0B">
      <w:pPr>
        <w:spacing w:line="480" w:lineRule="auto"/>
        <w:ind w:firstLine="1440"/>
        <w:rPr>
          <w:szCs w:val="24"/>
        </w:rPr>
      </w:pPr>
      <w:r>
        <w:t xml:space="preserve">(1) </w:t>
      </w:r>
      <w:r w:rsidR="004E6591">
        <w:t xml:space="preserve">Paragraph </w:t>
      </w:r>
      <w:r w:rsidR="004E6591" w:rsidRPr="00FD7844">
        <w:t xml:space="preserve">(16) is amended </w:t>
      </w:r>
      <w:r w:rsidR="004E6591" w:rsidRPr="00CA5DF3">
        <w:rPr>
          <w:szCs w:val="24"/>
        </w:rPr>
        <w:t xml:space="preserve">by striking the phrase </w:t>
      </w:r>
      <w:r w:rsidR="004E6591">
        <w:rPr>
          <w:szCs w:val="24"/>
        </w:rPr>
        <w:t xml:space="preserve">“an individual who has never owned eligible property” </w:t>
      </w:r>
      <w:r w:rsidR="004E6591" w:rsidRPr="00CA5DF3">
        <w:rPr>
          <w:szCs w:val="24"/>
        </w:rPr>
        <w:t>and inserting the phrase “</w:t>
      </w:r>
      <w:r w:rsidR="004E6591">
        <w:rPr>
          <w:szCs w:val="24"/>
        </w:rPr>
        <w:t xml:space="preserve">an individual purchaser who has never owned </w:t>
      </w:r>
      <w:r w:rsidR="004E6591" w:rsidRPr="00CA5DF3">
        <w:rPr>
          <w:szCs w:val="24"/>
        </w:rPr>
        <w:t xml:space="preserve">improved residential real property or an economic interest in a cooperative unit that </w:t>
      </w:r>
      <w:r w:rsidR="004E6591" w:rsidRPr="00CA5DF3">
        <w:rPr>
          <w:szCs w:val="24"/>
        </w:rPr>
        <w:lastRenderedPageBreak/>
        <w:t>qualified for the homestead deduction provided pursuant to</w:t>
      </w:r>
      <w:r w:rsidR="001324C7">
        <w:rPr>
          <w:szCs w:val="24"/>
        </w:rPr>
        <w:t xml:space="preserve"> D.C. Official Code</w:t>
      </w:r>
      <w:r w:rsidR="004E6591" w:rsidRPr="00CA5DF3">
        <w:rPr>
          <w:szCs w:val="24"/>
        </w:rPr>
        <w:t xml:space="preserve"> § 47-850 or </w:t>
      </w:r>
      <w:r w:rsidR="004E6591">
        <w:rPr>
          <w:szCs w:val="24"/>
        </w:rPr>
        <w:t xml:space="preserve">§ </w:t>
      </w:r>
      <w:r w:rsidR="004E6591" w:rsidRPr="00CA5DF3">
        <w:rPr>
          <w:szCs w:val="24"/>
        </w:rPr>
        <w:t>47-850.01” in its place.</w:t>
      </w:r>
    </w:p>
    <w:p w14:paraId="53077642" w14:textId="2621C6F9" w:rsidR="004E6591" w:rsidRDefault="004E6591" w:rsidP="00006F0B">
      <w:pPr>
        <w:spacing w:line="480" w:lineRule="auto"/>
        <w:ind w:firstLine="720"/>
        <w:rPr>
          <w:szCs w:val="24"/>
        </w:rPr>
      </w:pPr>
      <w:r>
        <w:rPr>
          <w:szCs w:val="24"/>
        </w:rPr>
        <w:tab/>
        <w:t>(2) Paragraph (17) is amended to read as follows:</w:t>
      </w:r>
    </w:p>
    <w:p w14:paraId="6050A076" w14:textId="143E8E94" w:rsidR="004E6591" w:rsidRDefault="004E6591" w:rsidP="00006F0B">
      <w:pPr>
        <w:spacing w:line="480" w:lineRule="auto"/>
        <w:ind w:firstLine="720"/>
        <w:rPr>
          <w:szCs w:val="24"/>
        </w:rPr>
      </w:pPr>
      <w:r>
        <w:rPr>
          <w:szCs w:val="24"/>
        </w:rPr>
        <w:tab/>
        <w:t xml:space="preserve">“(17) </w:t>
      </w:r>
      <w:r>
        <w:t xml:space="preserve">The phrase </w:t>
      </w:r>
      <w:r w:rsidR="00FC66F9">
        <w:t>“</w:t>
      </w:r>
      <w:r>
        <w:t>eligible property</w:t>
      </w:r>
      <w:r w:rsidR="00FC66F9">
        <w:t>”</w:t>
      </w:r>
      <w:r>
        <w:t xml:space="preserve"> means improved residential real property, including an economic interest in a cooperative unit, purchased at an amount not to exceed the purchase ceiling of $625,000 (adjusted annually beginning with real property tax year 2019 by the addition to the prior purchase ceiling of an amount equal to the percentage increase in the Washington, D.C., Standard Metropolitan Statistical Area Consumer Price Index for All Urban Consumers for the preceding calendar year in which the real property tax year begins, rounded to the next lowest multiple of $500), that qualifies for the homestead deduction provided pursuant to </w:t>
      </w:r>
      <w:r w:rsidR="00FC66F9">
        <w:t xml:space="preserve">D.C. Official Code </w:t>
      </w:r>
      <w:r>
        <w:t>§ 47-850 or § 47-850.01; and the phrase also includes within the purchase ceiling all other real propert</w:t>
      </w:r>
      <w:r w:rsidR="0025644E">
        <w:t>y conveyed on the same deed.”.</w:t>
      </w:r>
    </w:p>
    <w:p w14:paraId="1028AA95" w14:textId="5A64A3BC" w:rsidR="004E6591" w:rsidRDefault="004E6591" w:rsidP="00006F0B">
      <w:pPr>
        <w:spacing w:line="480" w:lineRule="auto"/>
        <w:ind w:firstLine="720"/>
      </w:pPr>
      <w:r>
        <w:t>(</w:t>
      </w:r>
      <w:r w:rsidR="0025644E">
        <w:t>b</w:t>
      </w:r>
      <w:r>
        <w:t xml:space="preserve">) </w:t>
      </w:r>
      <w:r w:rsidR="0025644E">
        <w:t xml:space="preserve">Section 303 </w:t>
      </w:r>
      <w:r w:rsidR="0025644E" w:rsidRPr="00EB2814">
        <w:rPr>
          <w:color w:val="000000" w:themeColor="text1"/>
          <w:szCs w:val="24"/>
        </w:rPr>
        <w:t>(D.C. Official Code § 42-1103)</w:t>
      </w:r>
      <w:r w:rsidR="0025644E">
        <w:rPr>
          <w:color w:val="000000" w:themeColor="text1"/>
          <w:szCs w:val="24"/>
        </w:rPr>
        <w:t xml:space="preserve"> </w:t>
      </w:r>
      <w:r>
        <w:t>is amended as follows:</w:t>
      </w:r>
    </w:p>
    <w:p w14:paraId="4EF1ECA3" w14:textId="77777777" w:rsidR="00130B58" w:rsidRDefault="0025644E" w:rsidP="00006F0B">
      <w:pPr>
        <w:spacing w:line="480" w:lineRule="auto"/>
        <w:ind w:firstLine="720"/>
      </w:pPr>
      <w:r>
        <w:tab/>
      </w:r>
      <w:r w:rsidR="004E6591">
        <w:t>(</w:t>
      </w:r>
      <w:r>
        <w:t>1</w:t>
      </w:r>
      <w:r w:rsidR="004E6591">
        <w:t xml:space="preserve">) </w:t>
      </w:r>
      <w:r w:rsidR="00130B58">
        <w:t>Subsection (e) is amended as follows:</w:t>
      </w:r>
    </w:p>
    <w:p w14:paraId="4668C435" w14:textId="328DA28A" w:rsidR="004E6591" w:rsidRDefault="00130B58" w:rsidP="00006F0B">
      <w:pPr>
        <w:spacing w:line="480" w:lineRule="auto"/>
        <w:ind w:left="1440" w:firstLine="720"/>
      </w:pPr>
      <w:r>
        <w:t xml:space="preserve">(A) </w:t>
      </w:r>
      <w:r w:rsidR="004E6591">
        <w:t>Paragraph (1) is amended to read as follows:</w:t>
      </w:r>
    </w:p>
    <w:p w14:paraId="3C3BFCB2" w14:textId="439C0418" w:rsidR="004E6591" w:rsidRPr="005E2D26" w:rsidRDefault="004E6591" w:rsidP="00006F0B">
      <w:pPr>
        <w:spacing w:line="480" w:lineRule="auto"/>
        <w:ind w:firstLine="1440"/>
        <w:rPr>
          <w:szCs w:val="24"/>
        </w:rPr>
      </w:pPr>
      <w:r>
        <w:t xml:space="preserve">“(1) </w:t>
      </w:r>
      <w:r w:rsidRPr="005E2D26">
        <w:rPr>
          <w:szCs w:val="24"/>
        </w:rPr>
        <w:t>Beginning October 1, 2017, for eligible property purchased by a first-time District homebuyer, the rate of tax provided in subsection</w:t>
      </w:r>
      <w:r w:rsidR="007B375D">
        <w:rPr>
          <w:szCs w:val="24"/>
        </w:rPr>
        <w:t>s</w:t>
      </w:r>
      <w:r w:rsidRPr="005E2D26">
        <w:rPr>
          <w:szCs w:val="24"/>
        </w:rPr>
        <w:t xml:space="preserve"> (a)</w:t>
      </w:r>
      <w:r w:rsidR="007B375D">
        <w:rPr>
          <w:szCs w:val="24"/>
        </w:rPr>
        <w:t xml:space="preserve"> and (a-4)</w:t>
      </w:r>
      <w:r w:rsidRPr="005E2D26">
        <w:rPr>
          <w:szCs w:val="24"/>
        </w:rPr>
        <w:t xml:space="preserve"> of this section shall be reduced</w:t>
      </w:r>
      <w:r>
        <w:rPr>
          <w:szCs w:val="24"/>
        </w:rPr>
        <w:t xml:space="preserve"> as follows; provided, that </w:t>
      </w:r>
      <w:r w:rsidR="006F01FB">
        <w:rPr>
          <w:szCs w:val="24"/>
        </w:rPr>
        <w:t xml:space="preserve">the </w:t>
      </w:r>
      <w:r>
        <w:rPr>
          <w:szCs w:val="24"/>
        </w:rPr>
        <w:t>requirements of paragraph (2) of this subsection are met; provided further, that the entire benefit of the reduced recordation tax rate shall be allocated to the grantees of the eligible property, as shown on the settlement statement or closing disclosure form</w:t>
      </w:r>
      <w:r w:rsidRPr="005E2D26">
        <w:rPr>
          <w:szCs w:val="24"/>
        </w:rPr>
        <w:t>:</w:t>
      </w:r>
    </w:p>
    <w:p w14:paraId="645A1187" w14:textId="28BAD196" w:rsidR="004E6591" w:rsidRPr="005E2D26" w:rsidRDefault="004E6591" w:rsidP="00006F0B">
      <w:pPr>
        <w:shd w:val="clear" w:color="auto" w:fill="FFFFFF"/>
        <w:spacing w:line="480" w:lineRule="auto"/>
        <w:textAlignment w:val="baseline"/>
        <w:rPr>
          <w:szCs w:val="24"/>
        </w:rPr>
      </w:pPr>
      <w:r w:rsidRPr="005E2D26">
        <w:rPr>
          <w:szCs w:val="24"/>
        </w:rPr>
        <w:tab/>
      </w:r>
      <w:r w:rsidR="0025644E">
        <w:rPr>
          <w:szCs w:val="24"/>
        </w:rPr>
        <w:tab/>
      </w:r>
      <w:r w:rsidR="0025644E">
        <w:rPr>
          <w:szCs w:val="24"/>
        </w:rPr>
        <w:tab/>
      </w:r>
      <w:r>
        <w:t>“</w:t>
      </w:r>
      <w:r w:rsidRPr="005E2D26">
        <w:rPr>
          <w:szCs w:val="24"/>
        </w:rPr>
        <w:t xml:space="preserve">(A) To </w:t>
      </w:r>
      <w:r w:rsidR="006F01FB">
        <w:rPr>
          <w:szCs w:val="24"/>
        </w:rPr>
        <w:t>0</w:t>
      </w:r>
      <w:r w:rsidRPr="005E2D26">
        <w:rPr>
          <w:szCs w:val="24"/>
        </w:rPr>
        <w:t>.725% for a deed of title; or</w:t>
      </w:r>
    </w:p>
    <w:p w14:paraId="6E5F5237" w14:textId="63725472" w:rsidR="004E6591" w:rsidRPr="005E2D26" w:rsidRDefault="004E6591" w:rsidP="00006F0B">
      <w:pPr>
        <w:shd w:val="clear" w:color="auto" w:fill="FFFFFF"/>
        <w:spacing w:line="480" w:lineRule="auto"/>
        <w:textAlignment w:val="baseline"/>
        <w:rPr>
          <w:szCs w:val="24"/>
        </w:rPr>
      </w:pPr>
      <w:r>
        <w:rPr>
          <w:szCs w:val="24"/>
        </w:rPr>
        <w:tab/>
      </w:r>
      <w:r>
        <w:rPr>
          <w:szCs w:val="24"/>
        </w:rPr>
        <w:tab/>
      </w:r>
      <w:r w:rsidRPr="005E2D26">
        <w:rPr>
          <w:szCs w:val="24"/>
        </w:rPr>
        <w:tab/>
      </w:r>
      <w:r>
        <w:t>“</w:t>
      </w:r>
      <w:r w:rsidRPr="005E2D26">
        <w:rPr>
          <w:szCs w:val="24"/>
        </w:rPr>
        <w:t>(B) For an economic interest in a cooperative unit:</w:t>
      </w:r>
    </w:p>
    <w:p w14:paraId="59E1F094" w14:textId="2359C3E3" w:rsidR="004E6591" w:rsidRPr="005E2D26" w:rsidRDefault="004E6591" w:rsidP="00006F0B">
      <w:pPr>
        <w:shd w:val="clear" w:color="auto" w:fill="FFFFFF"/>
        <w:spacing w:line="480" w:lineRule="auto"/>
        <w:textAlignment w:val="baseline"/>
        <w:rPr>
          <w:szCs w:val="24"/>
        </w:rPr>
      </w:pPr>
      <w:r w:rsidRPr="005E2D26">
        <w:rPr>
          <w:szCs w:val="24"/>
        </w:rPr>
        <w:lastRenderedPageBreak/>
        <w:tab/>
      </w:r>
      <w:r w:rsidRPr="005E2D26">
        <w:rPr>
          <w:szCs w:val="24"/>
        </w:rPr>
        <w:tab/>
      </w:r>
      <w:r>
        <w:rPr>
          <w:szCs w:val="24"/>
        </w:rPr>
        <w:tab/>
      </w:r>
      <w:r>
        <w:rPr>
          <w:szCs w:val="24"/>
        </w:rPr>
        <w:tab/>
      </w:r>
      <w:r>
        <w:t>“</w:t>
      </w:r>
      <w:r w:rsidRPr="005E2D26">
        <w:rPr>
          <w:szCs w:val="24"/>
        </w:rPr>
        <w:t>(</w:t>
      </w:r>
      <w:proofErr w:type="spellStart"/>
      <w:r w:rsidRPr="005E2D26">
        <w:rPr>
          <w:szCs w:val="24"/>
        </w:rPr>
        <w:t>i</w:t>
      </w:r>
      <w:proofErr w:type="spellEnd"/>
      <w:r w:rsidRPr="005E2D26">
        <w:rPr>
          <w:szCs w:val="24"/>
        </w:rPr>
        <w:t>) To 1.825% when consideration allocable to the real property is less than $400,000; or</w:t>
      </w:r>
    </w:p>
    <w:p w14:paraId="4BD74D7C" w14:textId="055D90AF" w:rsidR="004E6591" w:rsidRDefault="004E6591" w:rsidP="00006F0B">
      <w:pPr>
        <w:shd w:val="clear" w:color="auto" w:fill="FFFFFF"/>
        <w:spacing w:line="480" w:lineRule="auto"/>
        <w:textAlignment w:val="baseline"/>
        <w:rPr>
          <w:szCs w:val="24"/>
        </w:rPr>
      </w:pPr>
      <w:r w:rsidRPr="005E2D26">
        <w:rPr>
          <w:szCs w:val="24"/>
        </w:rPr>
        <w:tab/>
      </w:r>
      <w:r w:rsidRPr="005E2D26">
        <w:rPr>
          <w:szCs w:val="24"/>
        </w:rPr>
        <w:tab/>
      </w:r>
      <w:r>
        <w:rPr>
          <w:szCs w:val="24"/>
        </w:rPr>
        <w:tab/>
      </w:r>
      <w:r>
        <w:rPr>
          <w:szCs w:val="24"/>
        </w:rPr>
        <w:tab/>
      </w:r>
      <w:r>
        <w:t>“</w:t>
      </w:r>
      <w:r w:rsidRPr="005E2D26">
        <w:rPr>
          <w:szCs w:val="24"/>
        </w:rPr>
        <w:t>(ii) To 2.175% when consideration allocable to the real property is $400,000 or greater</w:t>
      </w:r>
      <w:r w:rsidR="0025644E">
        <w:rPr>
          <w:szCs w:val="24"/>
        </w:rPr>
        <w:t>.”.</w:t>
      </w:r>
      <w:r w:rsidRPr="005E2D26">
        <w:rPr>
          <w:szCs w:val="24"/>
        </w:rPr>
        <w:t xml:space="preserve"> </w:t>
      </w:r>
    </w:p>
    <w:p w14:paraId="11D26CA6" w14:textId="59A15915" w:rsidR="004E6591" w:rsidRDefault="0025644E" w:rsidP="00006F0B">
      <w:pPr>
        <w:spacing w:line="480" w:lineRule="auto"/>
        <w:ind w:firstLine="720"/>
      </w:pPr>
      <w:r>
        <w:t xml:space="preserve"> </w:t>
      </w:r>
      <w:r>
        <w:tab/>
      </w:r>
      <w:r w:rsidR="00130B58">
        <w:tab/>
      </w:r>
      <w:r w:rsidR="004E6591">
        <w:t>(</w:t>
      </w:r>
      <w:r w:rsidR="00130B58">
        <w:t>B</w:t>
      </w:r>
      <w:r w:rsidR="004E6591">
        <w:t>) Paragraph (2) is amended to read as follows:</w:t>
      </w:r>
    </w:p>
    <w:p w14:paraId="509EE4D6" w14:textId="41254505" w:rsidR="004E6591" w:rsidRPr="00445013" w:rsidRDefault="004E6591" w:rsidP="00006F0B">
      <w:pPr>
        <w:spacing w:line="480" w:lineRule="auto"/>
        <w:ind w:firstLine="720"/>
        <w:rPr>
          <w:color w:val="000000" w:themeColor="text1"/>
          <w:szCs w:val="24"/>
        </w:rPr>
      </w:pPr>
      <w:r>
        <w:tab/>
        <w:t>“</w:t>
      </w:r>
      <w:r w:rsidRPr="00445013">
        <w:rPr>
          <w:color w:val="000000" w:themeColor="text1"/>
          <w:szCs w:val="24"/>
        </w:rPr>
        <w:t>(2)</w:t>
      </w:r>
      <w:r>
        <w:rPr>
          <w:color w:val="000000" w:themeColor="text1"/>
          <w:szCs w:val="24"/>
        </w:rPr>
        <w:t xml:space="preserve"> </w:t>
      </w:r>
      <w:r w:rsidRPr="00445013">
        <w:rPr>
          <w:color w:val="000000" w:themeColor="text1"/>
          <w:szCs w:val="24"/>
        </w:rPr>
        <w:t>To be eligible for the reduced recordation tax rate</w:t>
      </w:r>
      <w:r>
        <w:rPr>
          <w:color w:val="000000" w:themeColor="text1"/>
          <w:szCs w:val="24"/>
        </w:rPr>
        <w:t xml:space="preserve"> provided by this subsection</w:t>
      </w:r>
      <w:r w:rsidRPr="00445013">
        <w:rPr>
          <w:color w:val="000000" w:themeColor="text1"/>
          <w:szCs w:val="24"/>
        </w:rPr>
        <w:t xml:space="preserve">, the applicant for the reduced rate shall, at the time the deed is offered for recordation: </w:t>
      </w:r>
    </w:p>
    <w:p w14:paraId="7ABDB8FC" w14:textId="21E95012" w:rsidR="004E6591" w:rsidRPr="00445013" w:rsidRDefault="004E6591" w:rsidP="00006F0B">
      <w:pPr>
        <w:shd w:val="clear" w:color="auto" w:fill="FFFFFF"/>
        <w:spacing w:line="480" w:lineRule="auto"/>
        <w:ind w:firstLine="2160"/>
        <w:textAlignment w:val="baseline"/>
        <w:rPr>
          <w:color w:val="000000" w:themeColor="text1"/>
          <w:szCs w:val="24"/>
        </w:rPr>
      </w:pPr>
      <w:r>
        <w:t>“</w:t>
      </w:r>
      <w:r w:rsidRPr="00445013">
        <w:rPr>
          <w:color w:val="000000" w:themeColor="text1"/>
          <w:szCs w:val="24"/>
        </w:rPr>
        <w:t xml:space="preserve">(A) Certify that the applicant is a first-time District homebuyer and is a bona fide District of Columbia resident; </w:t>
      </w:r>
    </w:p>
    <w:p w14:paraId="5B6E942E" w14:textId="43287364" w:rsidR="004E6591" w:rsidRPr="00445013" w:rsidRDefault="004E6591" w:rsidP="00006F0B">
      <w:pPr>
        <w:shd w:val="clear" w:color="auto" w:fill="FFFFFF"/>
        <w:spacing w:line="480" w:lineRule="auto"/>
        <w:ind w:firstLine="2160"/>
        <w:textAlignment w:val="baseline"/>
        <w:rPr>
          <w:color w:val="000000" w:themeColor="text1"/>
          <w:szCs w:val="24"/>
        </w:rPr>
      </w:pPr>
      <w:r>
        <w:t>“</w:t>
      </w:r>
      <w:r w:rsidRPr="00445013">
        <w:rPr>
          <w:color w:val="000000" w:themeColor="text1"/>
          <w:szCs w:val="24"/>
        </w:rPr>
        <w:t xml:space="preserve">(B) Provide proof that the </w:t>
      </w:r>
      <w:r>
        <w:rPr>
          <w:szCs w:val="24"/>
        </w:rPr>
        <w:t>combined federal adjusted gross income, as shown on all the owners’ and household members’ federal income tax returns originally due or filed immediately before (if filed before the original due date) the deed is offered for recordation, is no higher</w:t>
      </w:r>
      <w:r w:rsidRPr="00445013">
        <w:rPr>
          <w:color w:val="000000" w:themeColor="text1"/>
          <w:szCs w:val="24"/>
        </w:rPr>
        <w:t xml:space="preserve"> than 180% of the Area Median Income as provided before the beginning of the real property tax year (and effective for such tax year) by the United States Department of Housing and Urban Development as a direct calculation without taking into account any adjustment. </w:t>
      </w:r>
      <w:r>
        <w:rPr>
          <w:color w:val="000000" w:themeColor="text1"/>
          <w:szCs w:val="24"/>
        </w:rPr>
        <w:t xml:space="preserve"> </w:t>
      </w:r>
      <w:r w:rsidRPr="00445013">
        <w:rPr>
          <w:color w:val="000000" w:themeColor="text1"/>
          <w:szCs w:val="24"/>
        </w:rPr>
        <w:t>For purposes of this subparagraph, “household” excludes any tenant occupying a separate dwelling unit under a written lea</w:t>
      </w:r>
      <w:r>
        <w:rPr>
          <w:color w:val="000000" w:themeColor="text1"/>
          <w:szCs w:val="24"/>
        </w:rPr>
        <w:t>se</w:t>
      </w:r>
      <w:r w:rsidRPr="00445013">
        <w:rPr>
          <w:color w:val="000000" w:themeColor="text1"/>
          <w:szCs w:val="24"/>
        </w:rPr>
        <w:t xml:space="preserve"> for fair market value; </w:t>
      </w:r>
    </w:p>
    <w:p w14:paraId="3C3793A2" w14:textId="68000FD1" w:rsidR="004E6591" w:rsidRPr="00445013" w:rsidRDefault="004E6591" w:rsidP="00006F0B">
      <w:pPr>
        <w:shd w:val="clear" w:color="auto" w:fill="FFFFFF"/>
        <w:spacing w:line="480" w:lineRule="auto"/>
        <w:ind w:firstLine="2160"/>
        <w:textAlignment w:val="baseline"/>
        <w:rPr>
          <w:color w:val="000000" w:themeColor="text1"/>
          <w:szCs w:val="24"/>
        </w:rPr>
      </w:pPr>
      <w:r>
        <w:t>“</w:t>
      </w:r>
      <w:r w:rsidRPr="00445013">
        <w:rPr>
          <w:color w:val="000000" w:themeColor="text1"/>
          <w:szCs w:val="24"/>
        </w:rPr>
        <w:t xml:space="preserve">(C) Provide proof that the real property to be purchased is eligible property; </w:t>
      </w:r>
      <w:r>
        <w:rPr>
          <w:color w:val="000000" w:themeColor="text1"/>
          <w:szCs w:val="24"/>
        </w:rPr>
        <w:t>and</w:t>
      </w:r>
    </w:p>
    <w:p w14:paraId="3B278F69" w14:textId="253098B8" w:rsidR="004E6591" w:rsidRPr="00445013" w:rsidRDefault="004E6591" w:rsidP="00006F0B">
      <w:pPr>
        <w:shd w:val="clear" w:color="auto" w:fill="FFFFFF"/>
        <w:spacing w:line="480" w:lineRule="auto"/>
        <w:ind w:firstLine="2160"/>
        <w:textAlignment w:val="baseline"/>
        <w:rPr>
          <w:color w:val="000000" w:themeColor="text1"/>
          <w:szCs w:val="24"/>
        </w:rPr>
      </w:pPr>
      <w:r>
        <w:t>“</w:t>
      </w:r>
      <w:r w:rsidRPr="00445013">
        <w:rPr>
          <w:color w:val="000000" w:themeColor="text1"/>
          <w:szCs w:val="24"/>
        </w:rPr>
        <w:t>(D) Submit a copy of the homestead deduction application for the eligible property, signed by the applicant</w:t>
      </w:r>
      <w:r w:rsidR="0025644E">
        <w:rPr>
          <w:color w:val="000000" w:themeColor="text1"/>
          <w:szCs w:val="24"/>
        </w:rPr>
        <w:t>.”.</w:t>
      </w:r>
    </w:p>
    <w:p w14:paraId="076F5E97" w14:textId="74F71223" w:rsidR="004E6591" w:rsidRDefault="0025644E" w:rsidP="00006F0B">
      <w:pPr>
        <w:spacing w:line="480" w:lineRule="auto"/>
        <w:ind w:firstLine="720"/>
      </w:pPr>
      <w:r>
        <w:tab/>
      </w:r>
      <w:r w:rsidR="00130B58">
        <w:tab/>
      </w:r>
      <w:r>
        <w:t>(</w:t>
      </w:r>
      <w:r w:rsidR="00130B58">
        <w:t>C</w:t>
      </w:r>
      <w:r w:rsidR="004E6591">
        <w:t>) Paragraph 3 is amended to read as follows:</w:t>
      </w:r>
    </w:p>
    <w:p w14:paraId="568C6EF1" w14:textId="2F552251" w:rsidR="004E6591" w:rsidRDefault="004E6591" w:rsidP="00006F0B">
      <w:pPr>
        <w:spacing w:line="480" w:lineRule="auto"/>
        <w:ind w:firstLine="720"/>
      </w:pPr>
      <w:r>
        <w:lastRenderedPageBreak/>
        <w:tab/>
        <w:t>“(3) The Mayor or the Chief Financial Officer of the District of Columbia may require the applicant to provide such documentation as may be necessary or appropriate to substantiate entitlement to the reduced rate of tax provide</w:t>
      </w:r>
      <w:r w:rsidR="0025644E">
        <w:t>d under this subsection.”.</w:t>
      </w:r>
    </w:p>
    <w:p w14:paraId="750D7B3A" w14:textId="49B2F1B6" w:rsidR="004E6591" w:rsidRDefault="00130B58" w:rsidP="00006F0B">
      <w:pPr>
        <w:spacing w:line="480" w:lineRule="auto"/>
        <w:ind w:firstLine="720"/>
      </w:pPr>
      <w:r>
        <w:t xml:space="preserve"> </w:t>
      </w:r>
      <w:r>
        <w:tab/>
      </w:r>
      <w:r w:rsidR="004E6591">
        <w:t>(</w:t>
      </w:r>
      <w:r>
        <w:t>2</w:t>
      </w:r>
      <w:r w:rsidR="004E6591">
        <w:t>) A new subsection (g) is added to read as follows:</w:t>
      </w:r>
    </w:p>
    <w:p w14:paraId="3EFFFA9D" w14:textId="494FDF3C" w:rsidR="004E6591" w:rsidRDefault="004E6591" w:rsidP="00006F0B">
      <w:pPr>
        <w:spacing w:line="480" w:lineRule="auto"/>
        <w:ind w:firstLine="720"/>
      </w:pPr>
      <w:r>
        <w:t xml:space="preserve">“(g) </w:t>
      </w:r>
      <w:r w:rsidRPr="005E2D26">
        <w:t xml:space="preserve">Notwithstanding subsection (c) of this section and </w:t>
      </w:r>
      <w:r w:rsidR="00020BDA">
        <w:t xml:space="preserve">D.C. Official Code </w:t>
      </w:r>
      <w:r w:rsidRPr="005E2D26">
        <w:t xml:space="preserve">§ 47-4421, any subsequent deficiency of recordation tax determined to be owed on a deed taxed at the rate provided under subsection (e) </w:t>
      </w:r>
      <w:r>
        <w:t xml:space="preserve">of this section </w:t>
      </w:r>
      <w:r w:rsidRPr="005E2D26">
        <w:t>when the deed was accepted for recordation shall be the liability of the grantee or grantees solely and shall not create a lien on the real property that was transferred under such deed.</w:t>
      </w:r>
      <w:r w:rsidR="00130B58">
        <w:t>”.</w:t>
      </w:r>
    </w:p>
    <w:p w14:paraId="7B2482EC" w14:textId="77777777" w:rsidR="00D2712F" w:rsidRDefault="00D2712F" w:rsidP="00006F0B">
      <w:pPr>
        <w:spacing w:line="480" w:lineRule="auto"/>
        <w:ind w:firstLine="720"/>
        <w:rPr>
          <w:color w:val="000000" w:themeColor="text1"/>
        </w:rPr>
      </w:pPr>
    </w:p>
    <w:p w14:paraId="7D3E1FEA" w14:textId="1833CF53" w:rsidR="004E6591" w:rsidRDefault="004E6591" w:rsidP="00006F0B">
      <w:pPr>
        <w:spacing w:line="480" w:lineRule="auto"/>
        <w:ind w:firstLine="720"/>
      </w:pPr>
      <w:r>
        <w:t>Sec. 10</w:t>
      </w:r>
      <w:r w:rsidR="006123F7">
        <w:t>6</w:t>
      </w:r>
      <w:r>
        <w:t>. Chapter 22 of Title 47 of the District of Columbia Official Code is amended as follows:</w:t>
      </w:r>
    </w:p>
    <w:p w14:paraId="535B4DC4" w14:textId="77777777" w:rsidR="004E6591" w:rsidRPr="005E2D26" w:rsidRDefault="004E6591" w:rsidP="00006F0B">
      <w:pPr>
        <w:spacing w:line="480" w:lineRule="auto"/>
        <w:ind w:firstLine="720"/>
        <w:rPr>
          <w:color w:val="000000" w:themeColor="text1"/>
          <w:szCs w:val="24"/>
        </w:rPr>
      </w:pPr>
      <w:r w:rsidRPr="005E2D26">
        <w:rPr>
          <w:color w:val="000000" w:themeColor="text1"/>
          <w:szCs w:val="24"/>
        </w:rPr>
        <w:t>(</w:t>
      </w:r>
      <w:r>
        <w:rPr>
          <w:color w:val="000000" w:themeColor="text1"/>
          <w:szCs w:val="24"/>
        </w:rPr>
        <w:t>a</w:t>
      </w:r>
      <w:r w:rsidRPr="005E2D26">
        <w:rPr>
          <w:color w:val="000000" w:themeColor="text1"/>
          <w:szCs w:val="24"/>
        </w:rPr>
        <w:t>) The table of contents is amended by adding a new section designation to read as follows:</w:t>
      </w:r>
    </w:p>
    <w:p w14:paraId="70C3387C" w14:textId="77777777" w:rsidR="004E6591" w:rsidRPr="00761D37" w:rsidRDefault="004E6591" w:rsidP="00006F0B">
      <w:pPr>
        <w:spacing w:line="480" w:lineRule="auto"/>
        <w:ind w:firstLine="720"/>
      </w:pPr>
      <w:r w:rsidRPr="00761D37">
        <w:t>“47-2202.03. Additional tax on gross receipts for transient lodgings or accommodations.”.</w:t>
      </w:r>
    </w:p>
    <w:p w14:paraId="0C5AD68D" w14:textId="77777777" w:rsidR="004E6591" w:rsidRPr="00761D37" w:rsidRDefault="004E6591" w:rsidP="00006F0B">
      <w:pPr>
        <w:spacing w:line="480" w:lineRule="auto"/>
        <w:ind w:firstLine="720"/>
        <w:rPr>
          <w:szCs w:val="24"/>
        </w:rPr>
      </w:pPr>
      <w:r w:rsidRPr="00761D37">
        <w:rPr>
          <w:szCs w:val="24"/>
        </w:rPr>
        <w:t>(</w:t>
      </w:r>
      <w:r>
        <w:rPr>
          <w:szCs w:val="24"/>
        </w:rPr>
        <w:t>b</w:t>
      </w:r>
      <w:r w:rsidRPr="00761D37">
        <w:rPr>
          <w:szCs w:val="24"/>
        </w:rPr>
        <w:t>)</w:t>
      </w:r>
      <w:r>
        <w:rPr>
          <w:szCs w:val="24"/>
        </w:rPr>
        <w:t xml:space="preserve"> </w:t>
      </w:r>
      <w:r w:rsidRPr="00761D37">
        <w:rPr>
          <w:szCs w:val="24"/>
        </w:rPr>
        <w:t>A new section 47-2202.03 is added to read as follows:</w:t>
      </w:r>
    </w:p>
    <w:p w14:paraId="13E5891C" w14:textId="77777777" w:rsidR="004E6591" w:rsidRPr="00761D37" w:rsidRDefault="004E6591" w:rsidP="00006F0B">
      <w:pPr>
        <w:spacing w:line="480" w:lineRule="auto"/>
        <w:ind w:firstLine="720"/>
      </w:pPr>
      <w:r w:rsidRPr="00761D37">
        <w:t>“§ 47-2202.03. Additional tax on gross receipts for transient lodgings or accommodations.</w:t>
      </w:r>
    </w:p>
    <w:p w14:paraId="67C9BF40" w14:textId="77777777" w:rsidR="004E6591" w:rsidRPr="00761D37" w:rsidRDefault="004E6591" w:rsidP="00006F0B">
      <w:pPr>
        <w:spacing w:line="480" w:lineRule="auto"/>
        <w:ind w:firstLine="720"/>
        <w:rPr>
          <w:szCs w:val="24"/>
        </w:rPr>
      </w:pPr>
      <w:r w:rsidRPr="00761D37">
        <w:rPr>
          <w:szCs w:val="24"/>
        </w:rPr>
        <w:t>“(a)</w:t>
      </w:r>
      <w:r>
        <w:rPr>
          <w:szCs w:val="24"/>
        </w:rPr>
        <w:t xml:space="preserve"> </w:t>
      </w:r>
      <w:r w:rsidRPr="00761D37">
        <w:rPr>
          <w:szCs w:val="24"/>
        </w:rPr>
        <w:t xml:space="preserve">A tax, separate from, and in addition to, the taxes imposed pursuant to §§ 47-2202 and 47-2202.01 is imposed at the rate of 0.3% on the use, storage, or consumption of any room or rooms, lodgings, or accommodations furnished to a transient by any hotel, inn, tourist camp, </w:t>
      </w:r>
      <w:r w:rsidRPr="00761D37">
        <w:rPr>
          <w:szCs w:val="24"/>
        </w:rPr>
        <w:lastRenderedPageBreak/>
        <w:t xml:space="preserve">tourist cabin, or any other place in which rooms, lodgings, or accommodations are regularly furnished to transients. </w:t>
      </w:r>
    </w:p>
    <w:p w14:paraId="41BAF06A" w14:textId="77777777" w:rsidR="004E6591" w:rsidRPr="00761D37" w:rsidRDefault="004E6591" w:rsidP="00006F0B">
      <w:pPr>
        <w:spacing w:line="480" w:lineRule="auto"/>
        <w:ind w:firstLine="720"/>
        <w:rPr>
          <w:szCs w:val="24"/>
        </w:rPr>
      </w:pPr>
      <w:r w:rsidRPr="00761D37">
        <w:rPr>
          <w:szCs w:val="24"/>
        </w:rPr>
        <w:t>“(b)</w:t>
      </w:r>
      <w:r>
        <w:rPr>
          <w:szCs w:val="24"/>
        </w:rPr>
        <w:t xml:space="preserve"> </w:t>
      </w:r>
      <w:r w:rsidRPr="00761D37">
        <w:rPr>
          <w:szCs w:val="24"/>
        </w:rPr>
        <w:t>Vendors engaging in the business activities listed in this section and purchasers of the vendors' tangible personal property and services shall pay the tax at the rate of</w:t>
      </w:r>
      <w:r w:rsidRPr="00761D37">
        <w:rPr>
          <w:b/>
          <w:bCs/>
          <w:szCs w:val="24"/>
        </w:rPr>
        <w:t xml:space="preserve"> </w:t>
      </w:r>
      <w:r w:rsidRPr="00761D37">
        <w:rPr>
          <w:szCs w:val="24"/>
        </w:rPr>
        <w:t>0.3% of the gross receipts for the sale or charges for any room or rooms, lodgings, or accommodations furnished to a transient by any hotel, inn, tourist camp, tourist cabin, or any other place in which rooms, lodgings, or accommodations are regularly furnished to transients.</w:t>
      </w:r>
    </w:p>
    <w:p w14:paraId="3BA5D725" w14:textId="77777777" w:rsidR="004E6591" w:rsidRPr="00761D37" w:rsidRDefault="004E6591" w:rsidP="00006F0B">
      <w:pPr>
        <w:spacing w:line="480" w:lineRule="auto"/>
        <w:ind w:firstLine="720"/>
        <w:rPr>
          <w:szCs w:val="24"/>
        </w:rPr>
      </w:pPr>
      <w:r w:rsidRPr="00761D37">
        <w:rPr>
          <w:szCs w:val="24"/>
        </w:rPr>
        <w:t>“(c)</w:t>
      </w:r>
      <w:r>
        <w:rPr>
          <w:szCs w:val="24"/>
        </w:rPr>
        <w:t xml:space="preserve"> </w:t>
      </w:r>
      <w:r w:rsidRPr="00761D37">
        <w:rPr>
          <w:szCs w:val="24"/>
        </w:rPr>
        <w:t>If the occupancy of a room or rooms, lodgings, or accommodations is reserved, booked, or otherwise arranged for by a room remarketer, the tax imposed by this section shall be determined based on the net charges and additional charges by the room remarketer.</w:t>
      </w:r>
    </w:p>
    <w:p w14:paraId="643B689A" w14:textId="77777777" w:rsidR="004E6591" w:rsidRDefault="004E6591" w:rsidP="00006F0B">
      <w:pPr>
        <w:spacing w:line="480" w:lineRule="auto"/>
        <w:ind w:firstLine="720"/>
        <w:rPr>
          <w:szCs w:val="24"/>
        </w:rPr>
      </w:pPr>
      <w:r w:rsidRPr="00761D37">
        <w:rPr>
          <w:szCs w:val="24"/>
        </w:rPr>
        <w:t>“(d)</w:t>
      </w:r>
      <w:r>
        <w:rPr>
          <w:szCs w:val="24"/>
        </w:rPr>
        <w:t xml:space="preserve"> </w:t>
      </w:r>
      <w:r w:rsidRPr="00761D37">
        <w:rPr>
          <w:szCs w:val="24"/>
        </w:rPr>
        <w:t>The tax revenue receipted pursuant to this section shall be dedicated to the Washington Convention and Sports Authority, for transfer to Destination DC for the purposes of marketing and promoting the District of Columbia as a destination.  Any tax revenue dedicated pursuant to this subsection shall be in addition to the funds dedicated to Destination DC pursuant to § 10-1202.08a.”.</w:t>
      </w:r>
    </w:p>
    <w:p w14:paraId="42BF9251" w14:textId="77777777" w:rsidR="00D2712F" w:rsidRDefault="00D2712F" w:rsidP="00006F0B">
      <w:pPr>
        <w:spacing w:line="480" w:lineRule="auto"/>
        <w:ind w:firstLine="720"/>
        <w:rPr>
          <w:szCs w:val="24"/>
        </w:rPr>
      </w:pPr>
    </w:p>
    <w:p w14:paraId="740E77AF" w14:textId="6084877B" w:rsidR="004E6591" w:rsidRDefault="004E6591" w:rsidP="00006F0B">
      <w:pPr>
        <w:spacing w:line="480" w:lineRule="auto"/>
        <w:ind w:firstLine="720"/>
      </w:pPr>
      <w:r>
        <w:t>Sec. 10</w:t>
      </w:r>
      <w:r w:rsidR="00685E3E">
        <w:t>7</w:t>
      </w:r>
      <w:r>
        <w:t>. Section 3 of the Marion S. Barry Summer Youth Employment Expansion Amendment Act of 201</w:t>
      </w:r>
      <w:r w:rsidR="003915AD">
        <w:t>6</w:t>
      </w:r>
      <w:r>
        <w:t>, effective May 12, 2016 (D.C. Law 21-112; 63 DCR 4326), is repealed.</w:t>
      </w:r>
    </w:p>
    <w:p w14:paraId="7FCFC9BC" w14:textId="77777777" w:rsidR="00D0202E" w:rsidRDefault="00D0202E" w:rsidP="00006F0B">
      <w:pPr>
        <w:spacing w:line="480" w:lineRule="auto"/>
        <w:ind w:firstLine="720"/>
      </w:pPr>
    </w:p>
    <w:p w14:paraId="617B2D3A" w14:textId="283F9194" w:rsidR="00D0202E" w:rsidRDefault="00D0202E" w:rsidP="00006F0B">
      <w:pPr>
        <w:spacing w:line="480" w:lineRule="auto"/>
        <w:ind w:firstLine="720"/>
      </w:pPr>
      <w:r>
        <w:t>Sec. 108. Section 203(b)(2) of the Early Childhood and School-Based Behavioral Health Infrastructure Act of 2012, effective June 7, 2012 (D.C. Law 19-141; D.C. Official Code § 2-1517.32(b)(2)), is amended as follows:</w:t>
      </w:r>
    </w:p>
    <w:p w14:paraId="439AE492" w14:textId="0381B6F1" w:rsidR="00D0202E" w:rsidRDefault="00D0202E" w:rsidP="00006F0B">
      <w:pPr>
        <w:spacing w:line="480" w:lineRule="auto"/>
        <w:ind w:firstLine="720"/>
      </w:pPr>
      <w:r>
        <w:lastRenderedPageBreak/>
        <w:t>(a) Subparagraph (A) is amended by striking the phrase “designee;” and inserting the phrase “designee, to co-chair the task force;” in its place.</w:t>
      </w:r>
    </w:p>
    <w:p w14:paraId="0A7D49B7" w14:textId="4F3C8616" w:rsidR="00D0202E" w:rsidRDefault="00D0202E" w:rsidP="00006F0B">
      <w:pPr>
        <w:spacing w:line="480" w:lineRule="auto"/>
        <w:ind w:firstLine="720"/>
      </w:pPr>
      <w:r>
        <w:t>(b) Subparagraph (P) is amended by striking the phrase “members.” and inserting the phrase “members, to co-chair the task force.” in its place.</w:t>
      </w:r>
    </w:p>
    <w:p w14:paraId="1BC8951E" w14:textId="77777777" w:rsidR="001F62BC" w:rsidRDefault="001F62BC" w:rsidP="00006F0B">
      <w:pPr>
        <w:spacing w:line="480" w:lineRule="auto"/>
        <w:ind w:firstLine="720"/>
      </w:pPr>
    </w:p>
    <w:p w14:paraId="790D7191" w14:textId="13CAC76E" w:rsidR="001F62BC" w:rsidRDefault="001F62BC" w:rsidP="00006F0B">
      <w:pPr>
        <w:spacing w:line="480" w:lineRule="auto"/>
        <w:ind w:firstLine="720"/>
      </w:pPr>
      <w:r>
        <w:t xml:space="preserve">Sec. 109. </w:t>
      </w:r>
    </w:p>
    <w:p w14:paraId="6A126976" w14:textId="188E62A4" w:rsidR="004E6591" w:rsidRDefault="005875E0" w:rsidP="00006F0B">
      <w:pPr>
        <w:spacing w:line="480" w:lineRule="auto"/>
        <w:ind w:firstLine="720"/>
      </w:pPr>
      <w:r>
        <w:t>(a) Section 3500.8 of Title 5-E of the District of Columbia Municipal Regulations</w:t>
      </w:r>
      <w:r w:rsidR="00A70749">
        <w:t xml:space="preserve"> (5-E DCMR § 3500.8)</w:t>
      </w:r>
      <w:r>
        <w:t xml:space="preserve"> is amended as follows:</w:t>
      </w:r>
    </w:p>
    <w:p w14:paraId="38D5760E" w14:textId="0A039077" w:rsidR="000F15E2" w:rsidRDefault="000F15E2" w:rsidP="00006F0B">
      <w:pPr>
        <w:spacing w:line="480" w:lineRule="auto"/>
        <w:ind w:firstLine="1440"/>
      </w:pPr>
      <w:r>
        <w:t xml:space="preserve">(1) The existing text is </w:t>
      </w:r>
      <w:proofErr w:type="spellStart"/>
      <w:r>
        <w:t>redesignated</w:t>
      </w:r>
      <w:proofErr w:type="spellEnd"/>
      <w:r>
        <w:t xml:space="preserve"> as </w:t>
      </w:r>
      <w:r w:rsidR="006B5294">
        <w:t>paragraph</w:t>
      </w:r>
      <w:r>
        <w:t xml:space="preserve"> (a)</w:t>
      </w:r>
      <w:r w:rsidR="006B5294">
        <w:t>.</w:t>
      </w:r>
    </w:p>
    <w:p w14:paraId="01BB7E0F" w14:textId="66A40859" w:rsidR="000F15E2" w:rsidRDefault="000F15E2" w:rsidP="00006F0B">
      <w:pPr>
        <w:spacing w:line="480" w:lineRule="auto"/>
        <w:ind w:firstLine="1440"/>
      </w:pPr>
      <w:r>
        <w:t xml:space="preserve">(2) A new </w:t>
      </w:r>
      <w:r w:rsidR="006B5294">
        <w:t>paragraph</w:t>
      </w:r>
      <w:r>
        <w:t xml:space="preserve"> (b) is added to read as follows:</w:t>
      </w:r>
    </w:p>
    <w:p w14:paraId="07EA58D3" w14:textId="4AAEDDFD" w:rsidR="005875E0" w:rsidRDefault="000F15E2" w:rsidP="00006F0B">
      <w:pPr>
        <w:spacing w:line="480" w:lineRule="auto"/>
      </w:pPr>
      <w:r>
        <w:tab/>
        <w:t xml:space="preserve">“(b) Any </w:t>
      </w:r>
      <w:r w:rsidR="006B5294">
        <w:t xml:space="preserve">agreement for </w:t>
      </w:r>
      <w:r>
        <w:t xml:space="preserve">outside use or lease of a public school building by a civic association or Advisory Neighborhood Commission shall not stipulate any liability insurance requirement nor assess any permit, custodial, or security fee; provided, that the outside use of the public school building does not impose a cost on the District </w:t>
      </w:r>
      <w:r w:rsidR="006B5294">
        <w:t>e</w:t>
      </w:r>
      <w:r>
        <w:t>xcept for the costs of custodial and security services.”.</w:t>
      </w:r>
    </w:p>
    <w:p w14:paraId="4AB0C232" w14:textId="5279060F" w:rsidR="005875E0" w:rsidRDefault="005875E0" w:rsidP="00006F0B">
      <w:pPr>
        <w:spacing w:line="480" w:lineRule="auto"/>
        <w:ind w:firstLine="720"/>
      </w:pPr>
      <w:r>
        <w:t xml:space="preserve">(b) Section 1153 of the </w:t>
      </w:r>
      <w:r w:rsidRPr="007474A3">
        <w:rPr>
          <w:spacing w:val="-3"/>
          <w:szCs w:val="24"/>
        </w:rPr>
        <w:t>Fiscal Year 201</w:t>
      </w:r>
      <w:r>
        <w:rPr>
          <w:spacing w:val="-3"/>
          <w:szCs w:val="24"/>
        </w:rPr>
        <w:t>8</w:t>
      </w:r>
      <w:r w:rsidRPr="007474A3">
        <w:rPr>
          <w:spacing w:val="-3"/>
          <w:szCs w:val="24"/>
        </w:rPr>
        <w:t xml:space="preserve"> Budget Support Act of 201</w:t>
      </w:r>
      <w:r>
        <w:rPr>
          <w:spacing w:val="-3"/>
          <w:szCs w:val="24"/>
        </w:rPr>
        <w:t>7</w:t>
      </w:r>
      <w:r w:rsidRPr="007474A3">
        <w:rPr>
          <w:spacing w:val="-3"/>
          <w:szCs w:val="24"/>
        </w:rPr>
        <w:t xml:space="preserve">, </w:t>
      </w:r>
      <w:r>
        <w:rPr>
          <w:spacing w:val="-3"/>
          <w:szCs w:val="24"/>
        </w:rPr>
        <w:t>enacted</w:t>
      </w:r>
      <w:r w:rsidRPr="007474A3">
        <w:rPr>
          <w:spacing w:val="-3"/>
          <w:szCs w:val="24"/>
        </w:rPr>
        <w:t xml:space="preserve"> on </w:t>
      </w:r>
      <w:r>
        <w:rPr>
          <w:spacing w:val="-3"/>
          <w:szCs w:val="24"/>
        </w:rPr>
        <w:t>July 31, 2017</w:t>
      </w:r>
      <w:r w:rsidRPr="007474A3">
        <w:rPr>
          <w:spacing w:val="-3"/>
          <w:szCs w:val="24"/>
        </w:rPr>
        <w:t xml:space="preserve"> (D.C. Act </w:t>
      </w:r>
      <w:r>
        <w:rPr>
          <w:spacing w:val="-3"/>
          <w:szCs w:val="24"/>
        </w:rPr>
        <w:t>22-130</w:t>
      </w:r>
      <w:r w:rsidRPr="007474A3">
        <w:rPr>
          <w:spacing w:val="-3"/>
          <w:szCs w:val="24"/>
        </w:rPr>
        <w:t xml:space="preserve">; </w:t>
      </w:r>
      <w:r>
        <w:rPr>
          <w:spacing w:val="-3"/>
          <w:szCs w:val="24"/>
        </w:rPr>
        <w:t>64</w:t>
      </w:r>
      <w:r w:rsidRPr="007474A3">
        <w:rPr>
          <w:spacing w:val="-3"/>
          <w:szCs w:val="24"/>
        </w:rPr>
        <w:t xml:space="preserve"> DCR </w:t>
      </w:r>
      <w:r>
        <w:rPr>
          <w:spacing w:val="-3"/>
          <w:szCs w:val="24"/>
        </w:rPr>
        <w:t>7652</w:t>
      </w:r>
      <w:r w:rsidRPr="007474A3">
        <w:rPr>
          <w:spacing w:val="-3"/>
          <w:szCs w:val="24"/>
        </w:rPr>
        <w:t>),</w:t>
      </w:r>
      <w:r>
        <w:rPr>
          <w:spacing w:val="-3"/>
          <w:szCs w:val="24"/>
        </w:rPr>
        <w:t xml:space="preserve"> is repealed.</w:t>
      </w:r>
    </w:p>
    <w:p w14:paraId="56133414" w14:textId="77777777" w:rsidR="00D2712F" w:rsidRDefault="00D2712F" w:rsidP="00006F0B">
      <w:pPr>
        <w:spacing w:line="480" w:lineRule="auto"/>
        <w:ind w:firstLine="720"/>
      </w:pPr>
    </w:p>
    <w:p w14:paraId="5F64BB7E" w14:textId="77777777" w:rsidR="004E6591" w:rsidRDefault="004E6591" w:rsidP="00006F0B">
      <w:pPr>
        <w:spacing w:line="480" w:lineRule="auto"/>
        <w:ind w:firstLine="720"/>
      </w:pPr>
      <w:r>
        <w:t>TITLE II. WASHINGTON TEACHERS’ UNION AGREEMENT AND PUBLIC CHARTER SCHOOLS FUNDING</w:t>
      </w:r>
    </w:p>
    <w:p w14:paraId="665F82ED" w14:textId="574E650E" w:rsidR="00D0040A" w:rsidRPr="00EB2814" w:rsidRDefault="004E6591" w:rsidP="00006F0B">
      <w:pPr>
        <w:spacing w:line="480" w:lineRule="auto"/>
        <w:ind w:firstLine="720"/>
        <w:rPr>
          <w:rFonts w:eastAsia="Calibri"/>
          <w:color w:val="000000" w:themeColor="text1"/>
          <w:szCs w:val="24"/>
        </w:rPr>
      </w:pPr>
      <w:r>
        <w:t xml:space="preserve">Sec. 201. </w:t>
      </w:r>
      <w:r w:rsidR="00D0040A" w:rsidRPr="00EB2814">
        <w:rPr>
          <w:rFonts w:eastAsia="Calibri"/>
          <w:color w:val="000000" w:themeColor="text1"/>
          <w:szCs w:val="24"/>
        </w:rPr>
        <w:t>The Uniform Per Student Funding Formula for Public Schools and Public Charter Schools Act of 1998, effective March 26, 1999 (D.C. Law 12-207; D.C. Official Code § 38-290</w:t>
      </w:r>
      <w:r w:rsidR="007A79DF">
        <w:rPr>
          <w:rFonts w:eastAsia="Calibri"/>
          <w:color w:val="000000" w:themeColor="text1"/>
          <w:szCs w:val="24"/>
        </w:rPr>
        <w:t>1</w:t>
      </w:r>
      <w:r w:rsidR="00D0040A" w:rsidRPr="00EB2814">
        <w:rPr>
          <w:rFonts w:eastAsia="Calibri"/>
          <w:color w:val="000000" w:themeColor="text1"/>
          <w:szCs w:val="24"/>
        </w:rPr>
        <w:t xml:space="preserve"> </w:t>
      </w:r>
      <w:r w:rsidR="00D0040A" w:rsidRPr="00EB2814">
        <w:rPr>
          <w:rFonts w:eastAsia="Calibri"/>
          <w:i/>
          <w:color w:val="000000" w:themeColor="text1"/>
          <w:szCs w:val="24"/>
        </w:rPr>
        <w:t>et seq.</w:t>
      </w:r>
      <w:r w:rsidR="00D0040A" w:rsidRPr="00EB2814">
        <w:rPr>
          <w:rFonts w:eastAsia="Calibri"/>
          <w:color w:val="000000" w:themeColor="text1"/>
          <w:szCs w:val="24"/>
        </w:rPr>
        <w:t>), is amended as follows:</w:t>
      </w:r>
    </w:p>
    <w:p w14:paraId="61E2AD71" w14:textId="6FE0D14B" w:rsidR="004E6591" w:rsidRDefault="004E6591" w:rsidP="00006F0B">
      <w:pPr>
        <w:spacing w:line="480" w:lineRule="auto"/>
        <w:ind w:firstLine="720"/>
        <w:rPr>
          <w:rFonts w:eastAsia="Calibri"/>
        </w:rPr>
      </w:pPr>
      <w:r>
        <w:lastRenderedPageBreak/>
        <w:t xml:space="preserve">(a) Section </w:t>
      </w:r>
      <w:r w:rsidR="00D0040A">
        <w:t>104</w:t>
      </w:r>
      <w:r>
        <w:t xml:space="preserve"> </w:t>
      </w:r>
      <w:r w:rsidR="00853FF2">
        <w:t xml:space="preserve">(D.C. Official Code § 38-2903) </w:t>
      </w:r>
      <w:r>
        <w:t xml:space="preserve">is amended by striking the phrase </w:t>
      </w:r>
      <w:r>
        <w:rPr>
          <w:rFonts w:eastAsia="Calibri"/>
        </w:rPr>
        <w:t>“$9,972 per student for Fiscal Year 2018” and inserting the phrase “$10,257 per student for Fiscal Year 2018” in its place.</w:t>
      </w:r>
    </w:p>
    <w:p w14:paraId="5024BE5D" w14:textId="7853CCE5" w:rsidR="004E6591" w:rsidRDefault="004E6591" w:rsidP="00006F0B">
      <w:pPr>
        <w:spacing w:line="480" w:lineRule="auto"/>
        <w:ind w:firstLine="720"/>
        <w:rPr>
          <w:rFonts w:eastAsia="Calibri"/>
        </w:rPr>
      </w:pPr>
      <w:r>
        <w:rPr>
          <w:rFonts w:eastAsia="Calibri"/>
        </w:rPr>
        <w:t>(</w:t>
      </w:r>
      <w:r w:rsidR="00D0040A">
        <w:rPr>
          <w:rFonts w:eastAsia="Calibri"/>
        </w:rPr>
        <w:t>b</w:t>
      </w:r>
      <w:r>
        <w:rPr>
          <w:rFonts w:eastAsia="Calibri"/>
        </w:rPr>
        <w:t xml:space="preserve">) </w:t>
      </w:r>
      <w:r w:rsidR="00D0040A" w:rsidRPr="00EB2814">
        <w:rPr>
          <w:rFonts w:eastAsia="Calibri"/>
          <w:color w:val="000000" w:themeColor="text1"/>
          <w:szCs w:val="24"/>
        </w:rPr>
        <w:t xml:space="preserve">Section 105 (D.C. Official Code § 38-2904) </w:t>
      </w:r>
      <w:r>
        <w:rPr>
          <w:rFonts w:eastAsia="Calibri"/>
        </w:rPr>
        <w:t>is amended by striking the tabular array and inserting the following tabular array in its place:</w:t>
      </w:r>
    </w:p>
    <w:p w14:paraId="2CA7C85C" w14:textId="77777777" w:rsidR="004E6591" w:rsidRDefault="004E6591" w:rsidP="00D2712F">
      <w:pPr>
        <w:rPr>
          <w:rFonts w:eastAsia="Calibri"/>
        </w:rPr>
      </w:pPr>
      <w:r>
        <w:rPr>
          <w:rFonts w:eastAsia="Calibri"/>
        </w:rPr>
        <w:t>“</w:t>
      </w:r>
    </w:p>
    <w:tbl>
      <w:tblPr>
        <w:tblpPr w:leftFromText="180" w:rightFromText="180" w:vertAnchor="text" w:tblpX="710" w:tblpY="1"/>
        <w:tblOverlap w:val="never"/>
        <w:tblW w:w="0" w:type="auto"/>
        <w:tblCellMar>
          <w:left w:w="0" w:type="dxa"/>
          <w:right w:w="0" w:type="dxa"/>
        </w:tblCellMar>
        <w:tblLook w:val="04A0" w:firstRow="1" w:lastRow="0" w:firstColumn="1" w:lastColumn="0" w:noHBand="0" w:noVBand="1"/>
      </w:tblPr>
      <w:tblGrid>
        <w:gridCol w:w="3429"/>
        <w:gridCol w:w="1649"/>
        <w:gridCol w:w="2472"/>
      </w:tblGrid>
      <w:tr w:rsidR="004E6591" w14:paraId="41315235" w14:textId="77777777" w:rsidTr="00865498">
        <w:trPr>
          <w:trHeight w:val="704"/>
        </w:trPr>
        <w:tc>
          <w:tcPr>
            <w:tcW w:w="3429" w:type="dxa"/>
            <w:tcBorders>
              <w:top w:val="single" w:sz="8" w:space="0" w:color="000000"/>
              <w:left w:val="single" w:sz="8" w:space="0" w:color="000000"/>
              <w:bottom w:val="single" w:sz="8" w:space="0" w:color="000000"/>
              <w:right w:val="single" w:sz="8" w:space="0" w:color="000000"/>
            </w:tcBorders>
            <w:hideMark/>
          </w:tcPr>
          <w:p w14:paraId="3BBE2B58" w14:textId="77777777" w:rsidR="004E6591" w:rsidRDefault="004E6591" w:rsidP="00D2712F">
            <w:pPr>
              <w:ind w:left="115"/>
              <w:rPr>
                <w:rFonts w:eastAsia="Calibri"/>
              </w:rPr>
            </w:pPr>
            <w:r>
              <w:rPr>
                <w:rFonts w:eastAsia="Calibri"/>
              </w:rPr>
              <w:t>“Grade Level</w:t>
            </w:r>
          </w:p>
        </w:tc>
        <w:tc>
          <w:tcPr>
            <w:tcW w:w="1649" w:type="dxa"/>
            <w:tcBorders>
              <w:top w:val="single" w:sz="8" w:space="0" w:color="000000"/>
              <w:left w:val="nil"/>
              <w:bottom w:val="single" w:sz="8" w:space="0" w:color="000000"/>
              <w:right w:val="single" w:sz="8" w:space="0" w:color="000000"/>
            </w:tcBorders>
            <w:hideMark/>
          </w:tcPr>
          <w:p w14:paraId="0991921C" w14:textId="77777777" w:rsidR="004E6591" w:rsidRDefault="004E6591" w:rsidP="00D2712F">
            <w:pPr>
              <w:ind w:right="264"/>
              <w:rPr>
                <w:rFonts w:eastAsia="Calibri"/>
              </w:rPr>
            </w:pPr>
            <w:r>
              <w:rPr>
                <w:rFonts w:eastAsia="Calibri"/>
              </w:rPr>
              <w:t>Weighting</w:t>
            </w:r>
          </w:p>
        </w:tc>
        <w:tc>
          <w:tcPr>
            <w:tcW w:w="2472" w:type="dxa"/>
            <w:tcBorders>
              <w:top w:val="single" w:sz="8" w:space="0" w:color="000000"/>
              <w:left w:val="nil"/>
              <w:bottom w:val="single" w:sz="8" w:space="0" w:color="000000"/>
              <w:right w:val="single" w:sz="8" w:space="0" w:color="000000"/>
            </w:tcBorders>
            <w:hideMark/>
          </w:tcPr>
          <w:p w14:paraId="309EE60F" w14:textId="77777777" w:rsidR="004E6591" w:rsidRDefault="004E6591" w:rsidP="00D2712F">
            <w:pPr>
              <w:ind w:left="108"/>
              <w:rPr>
                <w:rFonts w:eastAsia="Calibri"/>
              </w:rPr>
            </w:pPr>
            <w:r>
              <w:rPr>
                <w:rFonts w:eastAsia="Calibri"/>
              </w:rPr>
              <w:t>Per Pupil</w:t>
            </w:r>
          </w:p>
          <w:p w14:paraId="5AEC9587" w14:textId="77777777" w:rsidR="004E6591" w:rsidRDefault="004E6591" w:rsidP="00D2712F">
            <w:pPr>
              <w:ind w:left="108" w:right="684"/>
              <w:rPr>
                <w:rFonts w:eastAsia="Calibri"/>
              </w:rPr>
            </w:pPr>
            <w:r>
              <w:rPr>
                <w:rFonts w:eastAsia="Calibri"/>
              </w:rPr>
              <w:t>Allocation in FY 2018</w:t>
            </w:r>
          </w:p>
        </w:tc>
      </w:tr>
      <w:tr w:rsidR="004E6591" w14:paraId="4CED3BAF"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1C2B7FE4" w14:textId="77777777" w:rsidR="004E6591" w:rsidRDefault="004E6591" w:rsidP="00D2712F">
            <w:pPr>
              <w:ind w:left="115"/>
              <w:rPr>
                <w:rFonts w:eastAsia="Calibri"/>
              </w:rPr>
            </w:pPr>
            <w:r>
              <w:rPr>
                <w:rFonts w:eastAsia="Calibri"/>
              </w:rPr>
              <w:t>“Pre-Kindergarten 3</w:t>
            </w:r>
          </w:p>
        </w:tc>
        <w:tc>
          <w:tcPr>
            <w:tcW w:w="1649" w:type="dxa"/>
            <w:tcBorders>
              <w:top w:val="nil"/>
              <w:left w:val="nil"/>
              <w:bottom w:val="single" w:sz="8" w:space="0" w:color="000000"/>
              <w:right w:val="single" w:sz="8" w:space="0" w:color="000000"/>
            </w:tcBorders>
            <w:vAlign w:val="center"/>
            <w:hideMark/>
          </w:tcPr>
          <w:p w14:paraId="4BD60FFD" w14:textId="77777777" w:rsidR="004E6591" w:rsidRDefault="004E6591" w:rsidP="00D2712F">
            <w:pPr>
              <w:rPr>
                <w:rFonts w:eastAsia="Calibri"/>
              </w:rPr>
            </w:pPr>
            <w:r>
              <w:rPr>
                <w:rFonts w:eastAsia="Calibri"/>
              </w:rPr>
              <w:t>1.34</w:t>
            </w:r>
          </w:p>
        </w:tc>
        <w:tc>
          <w:tcPr>
            <w:tcW w:w="2472" w:type="dxa"/>
            <w:tcBorders>
              <w:top w:val="nil"/>
              <w:left w:val="nil"/>
              <w:bottom w:val="single" w:sz="8" w:space="0" w:color="000000"/>
              <w:right w:val="single" w:sz="8" w:space="0" w:color="000000"/>
            </w:tcBorders>
            <w:vAlign w:val="bottom"/>
            <w:hideMark/>
          </w:tcPr>
          <w:p w14:paraId="6E3045A8" w14:textId="77777777" w:rsidR="004E6591" w:rsidRDefault="004E6591" w:rsidP="00D2712F">
            <w:pPr>
              <w:rPr>
                <w:rFonts w:eastAsia="Calibri"/>
              </w:rPr>
            </w:pPr>
            <w:r>
              <w:rPr>
                <w:rFonts w:eastAsia="Calibri"/>
              </w:rPr>
              <w:t xml:space="preserve">$13,744 </w:t>
            </w:r>
          </w:p>
        </w:tc>
      </w:tr>
      <w:tr w:rsidR="004E6591" w14:paraId="097DF758"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441799F1" w14:textId="77777777" w:rsidR="004E6591" w:rsidRDefault="004E6591" w:rsidP="00D2712F">
            <w:pPr>
              <w:ind w:left="115"/>
              <w:rPr>
                <w:rFonts w:eastAsia="Calibri"/>
              </w:rPr>
            </w:pPr>
            <w:r>
              <w:rPr>
                <w:rFonts w:eastAsia="Calibri"/>
              </w:rPr>
              <w:t>“Pre-Kindergarten 4</w:t>
            </w:r>
          </w:p>
        </w:tc>
        <w:tc>
          <w:tcPr>
            <w:tcW w:w="1649" w:type="dxa"/>
            <w:tcBorders>
              <w:top w:val="nil"/>
              <w:left w:val="nil"/>
              <w:bottom w:val="single" w:sz="8" w:space="0" w:color="000000"/>
              <w:right w:val="single" w:sz="8" w:space="0" w:color="000000"/>
            </w:tcBorders>
            <w:vAlign w:val="center"/>
            <w:hideMark/>
          </w:tcPr>
          <w:p w14:paraId="58798592" w14:textId="77777777" w:rsidR="004E6591" w:rsidRDefault="004E6591" w:rsidP="00D2712F">
            <w:pPr>
              <w:rPr>
                <w:rFonts w:eastAsia="Calibri"/>
              </w:rPr>
            </w:pPr>
            <w:r>
              <w:rPr>
                <w:rFonts w:eastAsia="Calibri"/>
              </w:rPr>
              <w:t>1.30</w:t>
            </w:r>
          </w:p>
        </w:tc>
        <w:tc>
          <w:tcPr>
            <w:tcW w:w="2472" w:type="dxa"/>
            <w:tcBorders>
              <w:top w:val="nil"/>
              <w:left w:val="nil"/>
              <w:bottom w:val="single" w:sz="8" w:space="0" w:color="000000"/>
              <w:right w:val="single" w:sz="8" w:space="0" w:color="000000"/>
            </w:tcBorders>
            <w:vAlign w:val="bottom"/>
            <w:hideMark/>
          </w:tcPr>
          <w:p w14:paraId="490615C5" w14:textId="77777777" w:rsidR="004E6591" w:rsidRDefault="004E6591" w:rsidP="00D2712F">
            <w:pPr>
              <w:rPr>
                <w:rFonts w:eastAsia="Calibri"/>
              </w:rPr>
            </w:pPr>
            <w:r>
              <w:rPr>
                <w:rFonts w:eastAsia="Calibri"/>
              </w:rPr>
              <w:t>$13,334</w:t>
            </w:r>
          </w:p>
        </w:tc>
      </w:tr>
      <w:tr w:rsidR="004E6591" w14:paraId="7156AFF4"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4086971A" w14:textId="77777777" w:rsidR="004E6591" w:rsidRDefault="004E6591" w:rsidP="00D2712F">
            <w:pPr>
              <w:ind w:left="115"/>
              <w:rPr>
                <w:rFonts w:eastAsia="Calibri"/>
              </w:rPr>
            </w:pPr>
            <w:r>
              <w:rPr>
                <w:rFonts w:eastAsia="Calibri"/>
              </w:rPr>
              <w:t>“Kindergarten</w:t>
            </w:r>
          </w:p>
        </w:tc>
        <w:tc>
          <w:tcPr>
            <w:tcW w:w="1649" w:type="dxa"/>
            <w:tcBorders>
              <w:top w:val="nil"/>
              <w:left w:val="nil"/>
              <w:bottom w:val="single" w:sz="8" w:space="0" w:color="000000"/>
              <w:right w:val="single" w:sz="8" w:space="0" w:color="000000"/>
            </w:tcBorders>
            <w:vAlign w:val="center"/>
            <w:hideMark/>
          </w:tcPr>
          <w:p w14:paraId="065F99C4" w14:textId="77777777" w:rsidR="004E6591" w:rsidRDefault="004E6591" w:rsidP="00D2712F">
            <w:pPr>
              <w:rPr>
                <w:rFonts w:eastAsia="Calibri"/>
              </w:rPr>
            </w:pPr>
            <w:r>
              <w:rPr>
                <w:rFonts w:eastAsia="Calibri"/>
              </w:rPr>
              <w:t>1.30</w:t>
            </w:r>
          </w:p>
        </w:tc>
        <w:tc>
          <w:tcPr>
            <w:tcW w:w="2472" w:type="dxa"/>
            <w:tcBorders>
              <w:top w:val="nil"/>
              <w:left w:val="nil"/>
              <w:bottom w:val="single" w:sz="8" w:space="0" w:color="000000"/>
              <w:right w:val="single" w:sz="8" w:space="0" w:color="000000"/>
            </w:tcBorders>
            <w:vAlign w:val="bottom"/>
            <w:hideMark/>
          </w:tcPr>
          <w:p w14:paraId="1C9A9519" w14:textId="77777777" w:rsidR="004E6591" w:rsidRDefault="004E6591" w:rsidP="00D2712F">
            <w:pPr>
              <w:rPr>
                <w:rFonts w:eastAsia="Calibri"/>
              </w:rPr>
            </w:pPr>
            <w:r>
              <w:rPr>
                <w:rFonts w:eastAsia="Calibri"/>
              </w:rPr>
              <w:t xml:space="preserve">$13,334 </w:t>
            </w:r>
          </w:p>
        </w:tc>
      </w:tr>
      <w:tr w:rsidR="004E6591" w14:paraId="5D26922F"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25A9159C" w14:textId="77777777" w:rsidR="004E6591" w:rsidRDefault="004E6591" w:rsidP="00D2712F">
            <w:pPr>
              <w:ind w:left="115"/>
              <w:rPr>
                <w:rFonts w:eastAsia="Calibri"/>
              </w:rPr>
            </w:pPr>
            <w:r>
              <w:rPr>
                <w:rFonts w:eastAsia="Calibri"/>
              </w:rPr>
              <w:t>“Grades 1-5</w:t>
            </w:r>
          </w:p>
        </w:tc>
        <w:tc>
          <w:tcPr>
            <w:tcW w:w="1649" w:type="dxa"/>
            <w:tcBorders>
              <w:top w:val="nil"/>
              <w:left w:val="nil"/>
              <w:bottom w:val="single" w:sz="8" w:space="0" w:color="000000"/>
              <w:right w:val="single" w:sz="8" w:space="0" w:color="000000"/>
            </w:tcBorders>
            <w:vAlign w:val="center"/>
            <w:hideMark/>
          </w:tcPr>
          <w:p w14:paraId="62AEBFC9" w14:textId="77777777" w:rsidR="004E6591" w:rsidRDefault="004E6591" w:rsidP="00D2712F">
            <w:pPr>
              <w:rPr>
                <w:rFonts w:eastAsia="Calibri"/>
              </w:rPr>
            </w:pPr>
            <w:r>
              <w:rPr>
                <w:rFonts w:eastAsia="Calibri"/>
              </w:rPr>
              <w:t>1.00</w:t>
            </w:r>
          </w:p>
        </w:tc>
        <w:tc>
          <w:tcPr>
            <w:tcW w:w="2472" w:type="dxa"/>
            <w:tcBorders>
              <w:top w:val="nil"/>
              <w:left w:val="nil"/>
              <w:bottom w:val="single" w:sz="8" w:space="0" w:color="000000"/>
              <w:right w:val="single" w:sz="8" w:space="0" w:color="000000"/>
            </w:tcBorders>
            <w:vAlign w:val="bottom"/>
            <w:hideMark/>
          </w:tcPr>
          <w:p w14:paraId="6500721C" w14:textId="77777777" w:rsidR="004E6591" w:rsidRDefault="004E6591" w:rsidP="00D2712F">
            <w:pPr>
              <w:rPr>
                <w:rFonts w:eastAsia="Calibri"/>
              </w:rPr>
            </w:pPr>
            <w:r>
              <w:rPr>
                <w:rFonts w:eastAsia="Calibri"/>
              </w:rPr>
              <w:t xml:space="preserve">$10,257 </w:t>
            </w:r>
          </w:p>
        </w:tc>
      </w:tr>
      <w:tr w:rsidR="004E6591" w14:paraId="6C522EE3"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2BC2F223" w14:textId="77777777" w:rsidR="004E6591" w:rsidRDefault="004E6591" w:rsidP="00D2712F">
            <w:pPr>
              <w:ind w:left="115"/>
              <w:rPr>
                <w:rFonts w:eastAsia="Calibri"/>
              </w:rPr>
            </w:pPr>
            <w:r>
              <w:rPr>
                <w:rFonts w:eastAsia="Calibri"/>
              </w:rPr>
              <w:t>“Grades 6-8</w:t>
            </w:r>
          </w:p>
        </w:tc>
        <w:tc>
          <w:tcPr>
            <w:tcW w:w="1649" w:type="dxa"/>
            <w:tcBorders>
              <w:top w:val="nil"/>
              <w:left w:val="nil"/>
              <w:bottom w:val="single" w:sz="8" w:space="0" w:color="000000"/>
              <w:right w:val="single" w:sz="8" w:space="0" w:color="000000"/>
            </w:tcBorders>
            <w:vAlign w:val="center"/>
            <w:hideMark/>
          </w:tcPr>
          <w:p w14:paraId="70CFF31E" w14:textId="77777777" w:rsidR="004E6591" w:rsidRDefault="004E6591" w:rsidP="00D2712F">
            <w:pPr>
              <w:rPr>
                <w:rFonts w:eastAsia="Calibri"/>
              </w:rPr>
            </w:pPr>
            <w:r>
              <w:rPr>
                <w:rFonts w:eastAsia="Calibri"/>
              </w:rPr>
              <w:t>1.08</w:t>
            </w:r>
          </w:p>
        </w:tc>
        <w:tc>
          <w:tcPr>
            <w:tcW w:w="2472" w:type="dxa"/>
            <w:tcBorders>
              <w:top w:val="nil"/>
              <w:left w:val="nil"/>
              <w:bottom w:val="single" w:sz="8" w:space="0" w:color="000000"/>
              <w:right w:val="single" w:sz="8" w:space="0" w:color="000000"/>
            </w:tcBorders>
            <w:vAlign w:val="bottom"/>
            <w:hideMark/>
          </w:tcPr>
          <w:p w14:paraId="74AEADE5" w14:textId="77777777" w:rsidR="004E6591" w:rsidRDefault="004E6591" w:rsidP="00D2712F">
            <w:pPr>
              <w:rPr>
                <w:rFonts w:eastAsia="Calibri"/>
              </w:rPr>
            </w:pPr>
            <w:r>
              <w:rPr>
                <w:rFonts w:eastAsia="Calibri"/>
              </w:rPr>
              <w:t xml:space="preserve">$11,078 </w:t>
            </w:r>
          </w:p>
        </w:tc>
      </w:tr>
      <w:tr w:rsidR="004E6591" w14:paraId="14DCC28A" w14:textId="77777777" w:rsidTr="00865498">
        <w:trPr>
          <w:trHeight w:val="456"/>
        </w:trPr>
        <w:tc>
          <w:tcPr>
            <w:tcW w:w="3429" w:type="dxa"/>
            <w:tcBorders>
              <w:top w:val="nil"/>
              <w:left w:val="single" w:sz="8" w:space="0" w:color="000000"/>
              <w:bottom w:val="single" w:sz="8" w:space="0" w:color="000000"/>
              <w:right w:val="single" w:sz="8" w:space="0" w:color="000000"/>
            </w:tcBorders>
            <w:vAlign w:val="center"/>
            <w:hideMark/>
          </w:tcPr>
          <w:p w14:paraId="27DDAEAE" w14:textId="77777777" w:rsidR="004E6591" w:rsidRDefault="004E6591" w:rsidP="00D2712F">
            <w:pPr>
              <w:ind w:left="115"/>
              <w:rPr>
                <w:rFonts w:eastAsia="Calibri"/>
              </w:rPr>
            </w:pPr>
            <w:r>
              <w:rPr>
                <w:rFonts w:eastAsia="Calibri"/>
              </w:rPr>
              <w:t>“Grades 9-12</w:t>
            </w:r>
          </w:p>
        </w:tc>
        <w:tc>
          <w:tcPr>
            <w:tcW w:w="1649" w:type="dxa"/>
            <w:tcBorders>
              <w:top w:val="nil"/>
              <w:left w:val="nil"/>
              <w:bottom w:val="single" w:sz="8" w:space="0" w:color="000000"/>
              <w:right w:val="single" w:sz="8" w:space="0" w:color="000000"/>
            </w:tcBorders>
            <w:vAlign w:val="center"/>
            <w:hideMark/>
          </w:tcPr>
          <w:p w14:paraId="7E83188E" w14:textId="77777777" w:rsidR="004E6591" w:rsidRDefault="004E6591" w:rsidP="00D2712F">
            <w:pPr>
              <w:rPr>
                <w:rFonts w:eastAsia="Calibri"/>
              </w:rPr>
            </w:pPr>
            <w:r>
              <w:rPr>
                <w:rFonts w:eastAsia="Calibri"/>
              </w:rPr>
              <w:t>1.22</w:t>
            </w:r>
          </w:p>
        </w:tc>
        <w:tc>
          <w:tcPr>
            <w:tcW w:w="2472" w:type="dxa"/>
            <w:tcBorders>
              <w:top w:val="nil"/>
              <w:left w:val="nil"/>
              <w:bottom w:val="single" w:sz="8" w:space="0" w:color="000000"/>
              <w:right w:val="single" w:sz="8" w:space="0" w:color="000000"/>
            </w:tcBorders>
            <w:vAlign w:val="bottom"/>
            <w:hideMark/>
          </w:tcPr>
          <w:p w14:paraId="06520D81" w14:textId="77777777" w:rsidR="004E6591" w:rsidRDefault="004E6591" w:rsidP="00D2712F">
            <w:pPr>
              <w:rPr>
                <w:rFonts w:eastAsia="Calibri"/>
              </w:rPr>
            </w:pPr>
            <w:r>
              <w:rPr>
                <w:rFonts w:eastAsia="Calibri"/>
              </w:rPr>
              <w:t xml:space="preserve">$12,514 </w:t>
            </w:r>
          </w:p>
        </w:tc>
      </w:tr>
      <w:tr w:rsidR="004E6591" w14:paraId="62C87D7F" w14:textId="77777777" w:rsidTr="00865498">
        <w:trPr>
          <w:trHeight w:val="444"/>
        </w:trPr>
        <w:tc>
          <w:tcPr>
            <w:tcW w:w="3429" w:type="dxa"/>
            <w:tcBorders>
              <w:top w:val="nil"/>
              <w:left w:val="single" w:sz="8" w:space="0" w:color="000000"/>
              <w:bottom w:val="single" w:sz="8" w:space="0" w:color="000000"/>
              <w:right w:val="single" w:sz="8" w:space="0" w:color="000000"/>
            </w:tcBorders>
            <w:vAlign w:val="center"/>
            <w:hideMark/>
          </w:tcPr>
          <w:p w14:paraId="741FF635" w14:textId="77777777" w:rsidR="004E6591" w:rsidRDefault="004E6591" w:rsidP="00D2712F">
            <w:pPr>
              <w:ind w:left="115"/>
              <w:rPr>
                <w:rFonts w:eastAsia="Calibri"/>
              </w:rPr>
            </w:pPr>
            <w:r>
              <w:rPr>
                <w:rFonts w:eastAsia="Calibri"/>
              </w:rPr>
              <w:t>“Alternative program</w:t>
            </w:r>
          </w:p>
        </w:tc>
        <w:tc>
          <w:tcPr>
            <w:tcW w:w="1649" w:type="dxa"/>
            <w:tcBorders>
              <w:top w:val="nil"/>
              <w:left w:val="nil"/>
              <w:bottom w:val="single" w:sz="8" w:space="0" w:color="000000"/>
              <w:right w:val="single" w:sz="8" w:space="0" w:color="000000"/>
            </w:tcBorders>
            <w:vAlign w:val="center"/>
            <w:hideMark/>
          </w:tcPr>
          <w:p w14:paraId="09353370" w14:textId="77777777" w:rsidR="004E6591" w:rsidRDefault="004E6591" w:rsidP="00D2712F">
            <w:pPr>
              <w:rPr>
                <w:rFonts w:eastAsia="Calibri"/>
              </w:rPr>
            </w:pPr>
            <w:r>
              <w:rPr>
                <w:rFonts w:eastAsia="Calibri"/>
              </w:rPr>
              <w:t>1.44</w:t>
            </w:r>
          </w:p>
        </w:tc>
        <w:tc>
          <w:tcPr>
            <w:tcW w:w="2472" w:type="dxa"/>
            <w:tcBorders>
              <w:top w:val="nil"/>
              <w:left w:val="nil"/>
              <w:bottom w:val="single" w:sz="8" w:space="0" w:color="000000"/>
              <w:right w:val="single" w:sz="8" w:space="0" w:color="000000"/>
            </w:tcBorders>
            <w:vAlign w:val="bottom"/>
            <w:hideMark/>
          </w:tcPr>
          <w:p w14:paraId="5902FD9E" w14:textId="77777777" w:rsidR="004E6591" w:rsidRDefault="004E6591" w:rsidP="00D2712F">
            <w:pPr>
              <w:rPr>
                <w:rFonts w:eastAsia="Calibri"/>
              </w:rPr>
            </w:pPr>
            <w:r>
              <w:rPr>
                <w:rFonts w:eastAsia="Calibri"/>
              </w:rPr>
              <w:t xml:space="preserve">$14,770 </w:t>
            </w:r>
          </w:p>
        </w:tc>
      </w:tr>
      <w:tr w:rsidR="004E6591" w14:paraId="5E7563CF" w14:textId="77777777" w:rsidTr="00865498">
        <w:trPr>
          <w:trHeight w:val="456"/>
        </w:trPr>
        <w:tc>
          <w:tcPr>
            <w:tcW w:w="3429" w:type="dxa"/>
            <w:tcBorders>
              <w:top w:val="nil"/>
              <w:left w:val="single" w:sz="8" w:space="0" w:color="000000"/>
              <w:bottom w:val="single" w:sz="8" w:space="0" w:color="000000"/>
              <w:right w:val="single" w:sz="8" w:space="0" w:color="000000"/>
            </w:tcBorders>
            <w:vAlign w:val="center"/>
            <w:hideMark/>
          </w:tcPr>
          <w:p w14:paraId="40836EF1" w14:textId="77777777" w:rsidR="004E6591" w:rsidRDefault="004E6591" w:rsidP="00D2712F">
            <w:pPr>
              <w:ind w:left="115"/>
              <w:rPr>
                <w:rFonts w:eastAsia="Calibri"/>
              </w:rPr>
            </w:pPr>
            <w:r>
              <w:rPr>
                <w:rFonts w:eastAsia="Calibri"/>
              </w:rPr>
              <w:t>“Special education school</w:t>
            </w:r>
          </w:p>
        </w:tc>
        <w:tc>
          <w:tcPr>
            <w:tcW w:w="1649" w:type="dxa"/>
            <w:tcBorders>
              <w:top w:val="nil"/>
              <w:left w:val="nil"/>
              <w:bottom w:val="single" w:sz="8" w:space="0" w:color="000000"/>
              <w:right w:val="single" w:sz="8" w:space="0" w:color="000000"/>
            </w:tcBorders>
            <w:vAlign w:val="center"/>
            <w:hideMark/>
          </w:tcPr>
          <w:p w14:paraId="0D43EC6B" w14:textId="77777777" w:rsidR="004E6591" w:rsidRDefault="004E6591" w:rsidP="00D2712F">
            <w:pPr>
              <w:rPr>
                <w:rFonts w:eastAsia="Calibri"/>
              </w:rPr>
            </w:pPr>
            <w:r>
              <w:rPr>
                <w:rFonts w:eastAsia="Calibri"/>
              </w:rPr>
              <w:t>1.17</w:t>
            </w:r>
          </w:p>
        </w:tc>
        <w:tc>
          <w:tcPr>
            <w:tcW w:w="2472" w:type="dxa"/>
            <w:tcBorders>
              <w:top w:val="nil"/>
              <w:left w:val="nil"/>
              <w:bottom w:val="single" w:sz="8" w:space="0" w:color="000000"/>
              <w:right w:val="single" w:sz="8" w:space="0" w:color="000000"/>
            </w:tcBorders>
            <w:vAlign w:val="bottom"/>
            <w:hideMark/>
          </w:tcPr>
          <w:p w14:paraId="01D188AF" w14:textId="77777777" w:rsidR="004E6591" w:rsidRDefault="004E6591" w:rsidP="00D2712F">
            <w:pPr>
              <w:rPr>
                <w:rFonts w:eastAsia="Calibri"/>
              </w:rPr>
            </w:pPr>
            <w:r>
              <w:rPr>
                <w:rFonts w:eastAsia="Calibri"/>
              </w:rPr>
              <w:t>$12,001</w:t>
            </w:r>
          </w:p>
        </w:tc>
      </w:tr>
      <w:tr w:rsidR="004E6591" w14:paraId="2BADB170" w14:textId="77777777" w:rsidTr="00865498">
        <w:trPr>
          <w:trHeight w:val="432"/>
        </w:trPr>
        <w:tc>
          <w:tcPr>
            <w:tcW w:w="3429" w:type="dxa"/>
            <w:tcBorders>
              <w:top w:val="nil"/>
              <w:left w:val="single" w:sz="8" w:space="0" w:color="000000"/>
              <w:bottom w:val="single" w:sz="8" w:space="0" w:color="000000"/>
              <w:right w:val="single" w:sz="8" w:space="0" w:color="000000"/>
            </w:tcBorders>
            <w:vAlign w:val="center"/>
            <w:hideMark/>
          </w:tcPr>
          <w:p w14:paraId="5882EBEB" w14:textId="77777777" w:rsidR="004E6591" w:rsidRDefault="004E6591" w:rsidP="00D2712F">
            <w:pPr>
              <w:ind w:left="115"/>
              <w:rPr>
                <w:rFonts w:eastAsia="Calibri"/>
              </w:rPr>
            </w:pPr>
            <w:r>
              <w:rPr>
                <w:rFonts w:eastAsia="Calibri"/>
              </w:rPr>
              <w:t>“Adult</w:t>
            </w:r>
          </w:p>
        </w:tc>
        <w:tc>
          <w:tcPr>
            <w:tcW w:w="1649" w:type="dxa"/>
            <w:tcBorders>
              <w:top w:val="nil"/>
              <w:left w:val="nil"/>
              <w:bottom w:val="single" w:sz="8" w:space="0" w:color="000000"/>
              <w:right w:val="single" w:sz="8" w:space="0" w:color="000000"/>
            </w:tcBorders>
            <w:vAlign w:val="center"/>
            <w:hideMark/>
          </w:tcPr>
          <w:p w14:paraId="31A1808C" w14:textId="77777777" w:rsidR="004E6591" w:rsidRDefault="004E6591" w:rsidP="00D2712F">
            <w:pPr>
              <w:rPr>
                <w:rFonts w:eastAsia="Calibri"/>
              </w:rPr>
            </w:pPr>
            <w:r>
              <w:rPr>
                <w:rFonts w:eastAsia="Calibri"/>
              </w:rPr>
              <w:t>0.89</w:t>
            </w:r>
          </w:p>
        </w:tc>
        <w:tc>
          <w:tcPr>
            <w:tcW w:w="2472" w:type="dxa"/>
            <w:tcBorders>
              <w:top w:val="nil"/>
              <w:left w:val="nil"/>
              <w:bottom w:val="single" w:sz="8" w:space="0" w:color="000000"/>
              <w:right w:val="single" w:sz="8" w:space="0" w:color="000000"/>
            </w:tcBorders>
            <w:vAlign w:val="bottom"/>
            <w:hideMark/>
          </w:tcPr>
          <w:p w14:paraId="1BCD3D19" w14:textId="77777777" w:rsidR="004E6591" w:rsidRDefault="004E6591" w:rsidP="00D2712F">
            <w:pPr>
              <w:rPr>
                <w:rFonts w:eastAsia="Calibri"/>
              </w:rPr>
            </w:pPr>
            <w:r>
              <w:rPr>
                <w:rFonts w:eastAsia="Calibri"/>
              </w:rPr>
              <w:t xml:space="preserve">$9,129 </w:t>
            </w:r>
          </w:p>
        </w:tc>
      </w:tr>
    </w:tbl>
    <w:p w14:paraId="417CE8DC" w14:textId="77777777" w:rsidR="004E6591" w:rsidRDefault="004E6591" w:rsidP="00D2712F">
      <w:pPr>
        <w:ind w:left="720" w:firstLine="720"/>
      </w:pPr>
      <w:r>
        <w:t>.“.</w:t>
      </w:r>
    </w:p>
    <w:p w14:paraId="0001789B" w14:textId="406BCE10" w:rsidR="004E6591" w:rsidRDefault="00D0040A" w:rsidP="00D2712F">
      <w:pPr>
        <w:rPr>
          <w:rFonts w:eastAsia="Calibri"/>
        </w:rPr>
      </w:pPr>
      <w:r>
        <w:rPr>
          <w:rFonts w:eastAsia="Calibri"/>
        </w:rPr>
        <w:tab/>
        <w:t xml:space="preserve">(c) </w:t>
      </w:r>
      <w:r w:rsidRPr="00EB2814">
        <w:rPr>
          <w:rFonts w:eastAsia="Calibri"/>
          <w:color w:val="000000" w:themeColor="text1"/>
          <w:szCs w:val="24"/>
        </w:rPr>
        <w:t>Section 106</w:t>
      </w:r>
      <w:r>
        <w:rPr>
          <w:rFonts w:eastAsia="Calibri"/>
          <w:color w:val="000000" w:themeColor="text1"/>
          <w:szCs w:val="24"/>
        </w:rPr>
        <w:t>(c)</w:t>
      </w:r>
      <w:r w:rsidRPr="00EB2814">
        <w:rPr>
          <w:rFonts w:eastAsia="Calibri"/>
          <w:color w:val="000000" w:themeColor="text1"/>
          <w:szCs w:val="24"/>
        </w:rPr>
        <w:t xml:space="preserve"> (D.C. Official Code § 38-2905</w:t>
      </w:r>
      <w:r>
        <w:rPr>
          <w:rFonts w:eastAsia="Calibri"/>
          <w:color w:val="000000" w:themeColor="text1"/>
          <w:szCs w:val="24"/>
        </w:rPr>
        <w:t>(c)</w:t>
      </w:r>
      <w:r w:rsidRPr="00EB2814">
        <w:rPr>
          <w:rFonts w:eastAsia="Calibri"/>
          <w:color w:val="000000" w:themeColor="text1"/>
          <w:szCs w:val="24"/>
        </w:rPr>
        <w:t xml:space="preserve">) is amended </w:t>
      </w:r>
      <w:r w:rsidR="004E6591">
        <w:rPr>
          <w:rFonts w:eastAsia="Calibri"/>
        </w:rPr>
        <w:t>to read as follows:</w:t>
      </w:r>
    </w:p>
    <w:p w14:paraId="537C7F31" w14:textId="6B529E73" w:rsidR="004E6591" w:rsidRDefault="004E6591" w:rsidP="00D2712F">
      <w:pPr>
        <w:ind w:firstLine="720"/>
        <w:rPr>
          <w:rFonts w:eastAsia="Calibri"/>
        </w:rPr>
      </w:pPr>
      <w:r>
        <w:rPr>
          <w:rFonts w:eastAsia="Calibri"/>
        </w:rPr>
        <w:t>“(c) The supplemental allocations shall be calculated by applying weightings to the foundation level as follows:</w:t>
      </w:r>
    </w:p>
    <w:p w14:paraId="6A284D12" w14:textId="3F42BA3A" w:rsidR="004E6591" w:rsidRDefault="004E6591" w:rsidP="00D2712F">
      <w:pPr>
        <w:rPr>
          <w:rFonts w:eastAsia="Calibri"/>
        </w:rPr>
      </w:pPr>
      <w:r>
        <w:rPr>
          <w:rFonts w:eastAsia="Calibri"/>
        </w:rPr>
        <w:tab/>
        <w:t>“Special Education Add-ons:</w:t>
      </w:r>
    </w:p>
    <w:tbl>
      <w:tblPr>
        <w:tblW w:w="0" w:type="auto"/>
        <w:tblInd w:w="905" w:type="dxa"/>
        <w:tblCellMar>
          <w:left w:w="0" w:type="dxa"/>
          <w:right w:w="0" w:type="dxa"/>
        </w:tblCellMar>
        <w:tblLook w:val="04A0" w:firstRow="1" w:lastRow="0" w:firstColumn="1" w:lastColumn="0" w:noHBand="0" w:noVBand="1"/>
      </w:tblPr>
      <w:tblGrid>
        <w:gridCol w:w="1711"/>
        <w:gridCol w:w="2553"/>
        <w:gridCol w:w="1684"/>
        <w:gridCol w:w="1807"/>
      </w:tblGrid>
      <w:tr w:rsidR="004E6591" w14:paraId="2835FE8C"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2721A42D" w14:textId="37DB4F17" w:rsidR="004E6591" w:rsidRDefault="004E6591" w:rsidP="00D2712F">
            <w:pPr>
              <w:rPr>
                <w:rFonts w:eastAsia="Calibri"/>
              </w:rPr>
            </w:pPr>
            <w:r>
              <w:rPr>
                <w:rFonts w:eastAsia="Calibri"/>
              </w:rPr>
              <w:t>“Level/ Program</w:t>
            </w:r>
          </w:p>
        </w:tc>
        <w:tc>
          <w:tcPr>
            <w:tcW w:w="2553" w:type="dxa"/>
            <w:tcBorders>
              <w:top w:val="single" w:sz="8" w:space="0" w:color="000000"/>
              <w:left w:val="nil"/>
              <w:bottom w:val="single" w:sz="8" w:space="0" w:color="000000"/>
              <w:right w:val="single" w:sz="8" w:space="0" w:color="000000"/>
            </w:tcBorders>
            <w:hideMark/>
          </w:tcPr>
          <w:p w14:paraId="50A416C2" w14:textId="77777777" w:rsidR="004E6591" w:rsidRDefault="004E6591" w:rsidP="00D2712F">
            <w:pPr>
              <w:rPr>
                <w:rFonts w:eastAsia="Calibri"/>
              </w:rPr>
            </w:pPr>
            <w:r>
              <w:rPr>
                <w:rFonts w:eastAsia="Calibri"/>
              </w:rPr>
              <w:t>Definition</w:t>
            </w:r>
          </w:p>
        </w:tc>
        <w:tc>
          <w:tcPr>
            <w:tcW w:w="1684" w:type="dxa"/>
            <w:tcBorders>
              <w:top w:val="single" w:sz="8" w:space="0" w:color="000000"/>
              <w:left w:val="nil"/>
              <w:bottom w:val="single" w:sz="8" w:space="0" w:color="000000"/>
              <w:right w:val="single" w:sz="8" w:space="0" w:color="000000"/>
            </w:tcBorders>
            <w:hideMark/>
          </w:tcPr>
          <w:p w14:paraId="4209E419" w14:textId="77777777" w:rsidR="004E6591" w:rsidRDefault="004E6591" w:rsidP="00D2712F">
            <w:pPr>
              <w:rPr>
                <w:rFonts w:eastAsia="Calibri"/>
              </w:rPr>
            </w:pPr>
            <w:r>
              <w:rPr>
                <w:rFonts w:eastAsia="Calibri"/>
              </w:rPr>
              <w:t>Weighting</w:t>
            </w:r>
          </w:p>
        </w:tc>
        <w:tc>
          <w:tcPr>
            <w:tcW w:w="1807" w:type="dxa"/>
            <w:tcBorders>
              <w:top w:val="single" w:sz="8" w:space="0" w:color="000000"/>
              <w:left w:val="nil"/>
              <w:bottom w:val="single" w:sz="8" w:space="0" w:color="000000"/>
              <w:right w:val="single" w:sz="8" w:space="0" w:color="000000"/>
            </w:tcBorders>
            <w:hideMark/>
          </w:tcPr>
          <w:p w14:paraId="108061D6" w14:textId="77777777" w:rsidR="004E6591" w:rsidRDefault="004E6591" w:rsidP="00D2712F">
            <w:pPr>
              <w:rPr>
                <w:rFonts w:eastAsia="Calibri"/>
              </w:rPr>
            </w:pPr>
            <w:r>
              <w:rPr>
                <w:rFonts w:eastAsia="Calibri"/>
              </w:rPr>
              <w:t>Per Pupil Supplemental Allocation FY 2018</w:t>
            </w:r>
          </w:p>
        </w:tc>
      </w:tr>
      <w:tr w:rsidR="004E6591" w14:paraId="1F7D344E"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3A73165A" w14:textId="22A47406" w:rsidR="004E6591" w:rsidRDefault="004E6591" w:rsidP="00D2712F">
            <w:pPr>
              <w:rPr>
                <w:rFonts w:eastAsia="Calibri"/>
              </w:rPr>
            </w:pPr>
            <w:r>
              <w:rPr>
                <w:rFonts w:eastAsia="Calibri"/>
              </w:rPr>
              <w:t>“Level 1: Special Education</w:t>
            </w:r>
          </w:p>
        </w:tc>
        <w:tc>
          <w:tcPr>
            <w:tcW w:w="2553" w:type="dxa"/>
            <w:tcBorders>
              <w:top w:val="single" w:sz="8" w:space="0" w:color="000000"/>
              <w:left w:val="nil"/>
              <w:bottom w:val="single" w:sz="8" w:space="0" w:color="000000"/>
              <w:right w:val="single" w:sz="8" w:space="0" w:color="000000"/>
            </w:tcBorders>
            <w:hideMark/>
          </w:tcPr>
          <w:p w14:paraId="6C2D5E33" w14:textId="77777777" w:rsidR="004E6591" w:rsidRDefault="004E6591" w:rsidP="00D2712F">
            <w:pPr>
              <w:rPr>
                <w:rFonts w:eastAsia="Calibri"/>
              </w:rPr>
            </w:pPr>
            <w:r>
              <w:rPr>
                <w:rFonts w:eastAsia="Calibri"/>
              </w:rPr>
              <w:t>Eight hours or less per week of specialized services</w:t>
            </w:r>
          </w:p>
        </w:tc>
        <w:tc>
          <w:tcPr>
            <w:tcW w:w="1684" w:type="dxa"/>
            <w:tcBorders>
              <w:top w:val="single" w:sz="8" w:space="0" w:color="000000"/>
              <w:left w:val="nil"/>
              <w:bottom w:val="single" w:sz="8" w:space="0" w:color="000000"/>
              <w:right w:val="single" w:sz="8" w:space="0" w:color="000000"/>
            </w:tcBorders>
            <w:hideMark/>
          </w:tcPr>
          <w:p w14:paraId="2383ACC3" w14:textId="77777777" w:rsidR="004E6591" w:rsidRDefault="004E6591" w:rsidP="00D2712F">
            <w:pPr>
              <w:rPr>
                <w:rFonts w:eastAsia="Calibri"/>
              </w:rPr>
            </w:pPr>
            <w:r>
              <w:rPr>
                <w:rFonts w:eastAsia="Calibri"/>
              </w:rPr>
              <w:t>0.97</w:t>
            </w:r>
          </w:p>
        </w:tc>
        <w:tc>
          <w:tcPr>
            <w:tcW w:w="1807" w:type="dxa"/>
            <w:tcBorders>
              <w:top w:val="single" w:sz="8" w:space="0" w:color="000000"/>
              <w:left w:val="nil"/>
              <w:bottom w:val="single" w:sz="8" w:space="0" w:color="000000"/>
              <w:right w:val="single" w:sz="8" w:space="0" w:color="000000"/>
            </w:tcBorders>
            <w:hideMark/>
          </w:tcPr>
          <w:p w14:paraId="0D876D6A" w14:textId="77777777" w:rsidR="004E6591" w:rsidRDefault="004E6591" w:rsidP="00D2712F">
            <w:pPr>
              <w:rPr>
                <w:rFonts w:eastAsia="Calibri"/>
              </w:rPr>
            </w:pPr>
            <w:r>
              <w:rPr>
                <w:rFonts w:eastAsia="Calibri"/>
              </w:rPr>
              <w:t xml:space="preserve">$9,949 </w:t>
            </w:r>
          </w:p>
        </w:tc>
      </w:tr>
      <w:tr w:rsidR="004E6591" w14:paraId="726612A8"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214C620A" w14:textId="2FA3C0D6" w:rsidR="004E6591" w:rsidRDefault="004E6591" w:rsidP="00D2712F">
            <w:pPr>
              <w:rPr>
                <w:rFonts w:eastAsia="Calibri"/>
              </w:rPr>
            </w:pPr>
            <w:r>
              <w:rPr>
                <w:rFonts w:eastAsia="Calibri"/>
              </w:rPr>
              <w:t>“Level 2: Special Education</w:t>
            </w:r>
          </w:p>
        </w:tc>
        <w:tc>
          <w:tcPr>
            <w:tcW w:w="2553" w:type="dxa"/>
            <w:tcBorders>
              <w:top w:val="single" w:sz="8" w:space="0" w:color="000000"/>
              <w:left w:val="nil"/>
              <w:bottom w:val="single" w:sz="8" w:space="0" w:color="000000"/>
              <w:right w:val="single" w:sz="8" w:space="0" w:color="000000"/>
            </w:tcBorders>
            <w:hideMark/>
          </w:tcPr>
          <w:p w14:paraId="0A59DAF9" w14:textId="77777777" w:rsidR="004E6591" w:rsidRDefault="004E6591" w:rsidP="00D2712F">
            <w:pPr>
              <w:rPr>
                <w:rFonts w:eastAsia="Calibri"/>
              </w:rPr>
            </w:pPr>
            <w:r>
              <w:rPr>
                <w:rFonts w:eastAsia="Calibri"/>
              </w:rPr>
              <w:t>More than 8 hours and less than or equal to 16 hours per school week of specialized services</w:t>
            </w:r>
          </w:p>
        </w:tc>
        <w:tc>
          <w:tcPr>
            <w:tcW w:w="1684" w:type="dxa"/>
            <w:tcBorders>
              <w:top w:val="single" w:sz="8" w:space="0" w:color="000000"/>
              <w:left w:val="nil"/>
              <w:bottom w:val="single" w:sz="8" w:space="0" w:color="000000"/>
              <w:right w:val="single" w:sz="8" w:space="0" w:color="000000"/>
            </w:tcBorders>
            <w:hideMark/>
          </w:tcPr>
          <w:p w14:paraId="343244EB" w14:textId="77777777" w:rsidR="004E6591" w:rsidRDefault="004E6591" w:rsidP="00D2712F">
            <w:pPr>
              <w:rPr>
                <w:rFonts w:eastAsia="Calibri"/>
              </w:rPr>
            </w:pPr>
            <w:r>
              <w:rPr>
                <w:rFonts w:eastAsia="Calibri"/>
              </w:rPr>
              <w:t>1.20</w:t>
            </w:r>
          </w:p>
        </w:tc>
        <w:tc>
          <w:tcPr>
            <w:tcW w:w="1807" w:type="dxa"/>
            <w:tcBorders>
              <w:top w:val="single" w:sz="8" w:space="0" w:color="000000"/>
              <w:left w:val="nil"/>
              <w:bottom w:val="single" w:sz="8" w:space="0" w:color="000000"/>
              <w:right w:val="single" w:sz="8" w:space="0" w:color="000000"/>
            </w:tcBorders>
            <w:hideMark/>
          </w:tcPr>
          <w:p w14:paraId="078AC9A2" w14:textId="77777777" w:rsidR="004E6591" w:rsidRDefault="004E6591" w:rsidP="00D2712F">
            <w:pPr>
              <w:rPr>
                <w:rFonts w:eastAsia="Calibri"/>
              </w:rPr>
            </w:pPr>
            <w:r>
              <w:rPr>
                <w:rFonts w:eastAsia="Calibri"/>
              </w:rPr>
              <w:t xml:space="preserve">$12,308 </w:t>
            </w:r>
          </w:p>
        </w:tc>
      </w:tr>
      <w:tr w:rsidR="004E6591" w14:paraId="037273B6"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50E6A9D2" w14:textId="75CCF5D5" w:rsidR="004E6591" w:rsidRDefault="004E6591" w:rsidP="00D2712F">
            <w:pPr>
              <w:rPr>
                <w:rFonts w:eastAsia="Calibri"/>
              </w:rPr>
            </w:pPr>
            <w:r>
              <w:rPr>
                <w:rFonts w:eastAsia="Calibri"/>
              </w:rPr>
              <w:lastRenderedPageBreak/>
              <w:t>“Level 3: Special Education</w:t>
            </w:r>
          </w:p>
        </w:tc>
        <w:tc>
          <w:tcPr>
            <w:tcW w:w="2553" w:type="dxa"/>
            <w:tcBorders>
              <w:top w:val="single" w:sz="8" w:space="0" w:color="000000"/>
              <w:left w:val="nil"/>
              <w:bottom w:val="single" w:sz="8" w:space="0" w:color="000000"/>
              <w:right w:val="single" w:sz="8" w:space="0" w:color="000000"/>
            </w:tcBorders>
            <w:hideMark/>
          </w:tcPr>
          <w:p w14:paraId="3C0DC19E" w14:textId="77777777" w:rsidR="004E6591" w:rsidRDefault="004E6591" w:rsidP="00D2712F">
            <w:pPr>
              <w:rPr>
                <w:rFonts w:eastAsia="Calibri"/>
              </w:rPr>
            </w:pPr>
            <w:r>
              <w:rPr>
                <w:rFonts w:eastAsia="Calibri"/>
              </w:rPr>
              <w:t>More than 16 hours and less than or equal to 24 hours per school week of specialized services</w:t>
            </w:r>
          </w:p>
        </w:tc>
        <w:tc>
          <w:tcPr>
            <w:tcW w:w="1684" w:type="dxa"/>
            <w:tcBorders>
              <w:top w:val="single" w:sz="8" w:space="0" w:color="000000"/>
              <w:left w:val="nil"/>
              <w:bottom w:val="single" w:sz="8" w:space="0" w:color="000000"/>
              <w:right w:val="single" w:sz="8" w:space="0" w:color="000000"/>
            </w:tcBorders>
            <w:hideMark/>
          </w:tcPr>
          <w:p w14:paraId="76C9AC8D" w14:textId="77777777" w:rsidR="004E6591" w:rsidRDefault="004E6591" w:rsidP="00D2712F">
            <w:pPr>
              <w:rPr>
                <w:rFonts w:eastAsia="Calibri"/>
              </w:rPr>
            </w:pPr>
            <w:r>
              <w:rPr>
                <w:rFonts w:eastAsia="Calibri"/>
              </w:rPr>
              <w:t>1.97</w:t>
            </w:r>
          </w:p>
        </w:tc>
        <w:tc>
          <w:tcPr>
            <w:tcW w:w="1807" w:type="dxa"/>
            <w:tcBorders>
              <w:top w:val="single" w:sz="8" w:space="0" w:color="000000"/>
              <w:left w:val="nil"/>
              <w:bottom w:val="single" w:sz="8" w:space="0" w:color="000000"/>
              <w:right w:val="single" w:sz="8" w:space="0" w:color="000000"/>
            </w:tcBorders>
            <w:hideMark/>
          </w:tcPr>
          <w:p w14:paraId="31ED9B7A" w14:textId="77777777" w:rsidR="004E6591" w:rsidRDefault="004E6591" w:rsidP="00D2712F">
            <w:pPr>
              <w:rPr>
                <w:rFonts w:eastAsia="Calibri"/>
              </w:rPr>
            </w:pPr>
            <w:r>
              <w:rPr>
                <w:rFonts w:eastAsia="Calibri"/>
              </w:rPr>
              <w:t xml:space="preserve">$20,206 </w:t>
            </w:r>
          </w:p>
        </w:tc>
      </w:tr>
      <w:tr w:rsidR="004E6591" w14:paraId="09DBB6DC"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58CDBF2B" w14:textId="7924523E" w:rsidR="004E6591" w:rsidRDefault="004E6591" w:rsidP="00D2712F">
            <w:pPr>
              <w:rPr>
                <w:rFonts w:eastAsia="Calibri"/>
              </w:rPr>
            </w:pPr>
            <w:r>
              <w:rPr>
                <w:rFonts w:eastAsia="Calibri"/>
              </w:rPr>
              <w:t>“Level 4: Special Education</w:t>
            </w:r>
          </w:p>
        </w:tc>
        <w:tc>
          <w:tcPr>
            <w:tcW w:w="2553" w:type="dxa"/>
            <w:tcBorders>
              <w:top w:val="single" w:sz="8" w:space="0" w:color="000000"/>
              <w:left w:val="nil"/>
              <w:bottom w:val="single" w:sz="8" w:space="0" w:color="000000"/>
              <w:right w:val="single" w:sz="8" w:space="0" w:color="000000"/>
            </w:tcBorders>
            <w:hideMark/>
          </w:tcPr>
          <w:p w14:paraId="682BBB58" w14:textId="77B1F4C9" w:rsidR="004E6591" w:rsidRDefault="004E6591" w:rsidP="00D2712F">
            <w:pPr>
              <w:rPr>
                <w:rFonts w:eastAsia="Calibri"/>
              </w:rPr>
            </w:pPr>
            <w:r>
              <w:rPr>
                <w:rFonts w:eastAsia="Calibri"/>
              </w:rPr>
              <w:t>More than 24 hours per week of specialized services</w:t>
            </w:r>
            <w:r w:rsidR="007A79DF">
              <w:rPr>
                <w:rFonts w:eastAsia="Calibri"/>
              </w:rPr>
              <w:t>,</w:t>
            </w:r>
            <w:r>
              <w:rPr>
                <w:rFonts w:eastAsia="Calibri"/>
              </w:rPr>
              <w:t xml:space="preserve"> which may include instruction in a self-contained (dedicated) special education school other than residential placement</w:t>
            </w:r>
          </w:p>
        </w:tc>
        <w:tc>
          <w:tcPr>
            <w:tcW w:w="1684" w:type="dxa"/>
            <w:tcBorders>
              <w:top w:val="single" w:sz="8" w:space="0" w:color="000000"/>
              <w:left w:val="nil"/>
              <w:bottom w:val="single" w:sz="8" w:space="0" w:color="000000"/>
              <w:right w:val="single" w:sz="8" w:space="0" w:color="000000"/>
            </w:tcBorders>
            <w:hideMark/>
          </w:tcPr>
          <w:p w14:paraId="70BF204B" w14:textId="77777777" w:rsidR="004E6591" w:rsidRDefault="004E6591" w:rsidP="00D2712F">
            <w:pPr>
              <w:rPr>
                <w:rFonts w:eastAsia="Calibri"/>
              </w:rPr>
            </w:pPr>
            <w:r>
              <w:rPr>
                <w:rFonts w:eastAsia="Calibri"/>
              </w:rPr>
              <w:t>3.49</w:t>
            </w:r>
          </w:p>
        </w:tc>
        <w:tc>
          <w:tcPr>
            <w:tcW w:w="1807" w:type="dxa"/>
            <w:tcBorders>
              <w:top w:val="single" w:sz="8" w:space="0" w:color="000000"/>
              <w:left w:val="nil"/>
              <w:bottom w:val="single" w:sz="8" w:space="0" w:color="000000"/>
              <w:right w:val="single" w:sz="8" w:space="0" w:color="000000"/>
            </w:tcBorders>
            <w:hideMark/>
          </w:tcPr>
          <w:p w14:paraId="6F46CAB7" w14:textId="77777777" w:rsidR="004E6591" w:rsidRDefault="004E6591" w:rsidP="00D2712F">
            <w:pPr>
              <w:rPr>
                <w:rFonts w:eastAsia="Calibri"/>
              </w:rPr>
            </w:pPr>
            <w:r>
              <w:rPr>
                <w:rFonts w:eastAsia="Calibri"/>
              </w:rPr>
              <w:t xml:space="preserve">$35,797 </w:t>
            </w:r>
          </w:p>
        </w:tc>
      </w:tr>
      <w:tr w:rsidR="004E6591" w14:paraId="6B316C01"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4D02CA72" w14:textId="0CFCAEC5" w:rsidR="004E6591" w:rsidRDefault="004E6591" w:rsidP="00D2712F">
            <w:pPr>
              <w:rPr>
                <w:rFonts w:eastAsia="Calibri"/>
              </w:rPr>
            </w:pPr>
            <w:r>
              <w:rPr>
                <w:rFonts w:eastAsia="Calibri"/>
              </w:rPr>
              <w:t>“Special Education Compliance</w:t>
            </w:r>
          </w:p>
        </w:tc>
        <w:tc>
          <w:tcPr>
            <w:tcW w:w="2553" w:type="dxa"/>
            <w:tcBorders>
              <w:top w:val="single" w:sz="8" w:space="0" w:color="000000"/>
              <w:left w:val="nil"/>
              <w:bottom w:val="single" w:sz="8" w:space="0" w:color="000000"/>
              <w:right w:val="single" w:sz="8" w:space="0" w:color="000000"/>
            </w:tcBorders>
            <w:hideMark/>
          </w:tcPr>
          <w:p w14:paraId="7F1D5DEA" w14:textId="77777777" w:rsidR="004E6591" w:rsidRDefault="004E6591" w:rsidP="00D2712F">
            <w:pPr>
              <w:rPr>
                <w:rFonts w:eastAsia="Calibri"/>
              </w:rPr>
            </w:pPr>
            <w:r>
              <w:rPr>
                <w:rFonts w:eastAsia="Calibri"/>
              </w:rPr>
              <w:t xml:space="preserve">Weighting provided in addition to special education level add-on weightings on a per-student basis for Special Education compliance. </w:t>
            </w:r>
          </w:p>
        </w:tc>
        <w:tc>
          <w:tcPr>
            <w:tcW w:w="1684" w:type="dxa"/>
            <w:tcBorders>
              <w:top w:val="single" w:sz="8" w:space="0" w:color="000000"/>
              <w:left w:val="nil"/>
              <w:bottom w:val="single" w:sz="8" w:space="0" w:color="000000"/>
              <w:right w:val="single" w:sz="8" w:space="0" w:color="000000"/>
            </w:tcBorders>
            <w:hideMark/>
          </w:tcPr>
          <w:p w14:paraId="24A8C66E" w14:textId="77777777" w:rsidR="004E6591" w:rsidRDefault="004E6591" w:rsidP="00D2712F">
            <w:pPr>
              <w:rPr>
                <w:rFonts w:eastAsia="Calibri"/>
              </w:rPr>
            </w:pPr>
            <w:r>
              <w:rPr>
                <w:rFonts w:eastAsia="Calibri"/>
              </w:rPr>
              <w:t>0.069</w:t>
            </w:r>
          </w:p>
        </w:tc>
        <w:tc>
          <w:tcPr>
            <w:tcW w:w="1807" w:type="dxa"/>
            <w:tcBorders>
              <w:top w:val="single" w:sz="8" w:space="0" w:color="000000"/>
              <w:left w:val="nil"/>
              <w:bottom w:val="single" w:sz="8" w:space="0" w:color="000000"/>
              <w:right w:val="single" w:sz="8" w:space="0" w:color="000000"/>
            </w:tcBorders>
            <w:hideMark/>
          </w:tcPr>
          <w:p w14:paraId="79D13D81" w14:textId="77777777" w:rsidR="004E6591" w:rsidRDefault="004E6591" w:rsidP="00D2712F">
            <w:pPr>
              <w:rPr>
                <w:rFonts w:eastAsia="Calibri"/>
              </w:rPr>
            </w:pPr>
            <w:r>
              <w:rPr>
                <w:rFonts w:eastAsia="Calibri"/>
              </w:rPr>
              <w:t xml:space="preserve">$708 </w:t>
            </w:r>
          </w:p>
        </w:tc>
      </w:tr>
      <w:tr w:rsidR="004E6591" w14:paraId="5B99293B"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hideMark/>
          </w:tcPr>
          <w:p w14:paraId="6209632A" w14:textId="3256322A" w:rsidR="004E6591" w:rsidRDefault="004E6591" w:rsidP="00D2712F">
            <w:pPr>
              <w:rPr>
                <w:rFonts w:eastAsia="Calibri"/>
              </w:rPr>
            </w:pPr>
            <w:r>
              <w:rPr>
                <w:rFonts w:eastAsia="Calibri"/>
              </w:rPr>
              <w:t>“Attorney’s Fees Supplement</w:t>
            </w:r>
          </w:p>
        </w:tc>
        <w:tc>
          <w:tcPr>
            <w:tcW w:w="2553" w:type="dxa"/>
            <w:tcBorders>
              <w:top w:val="single" w:sz="8" w:space="0" w:color="000000"/>
              <w:left w:val="nil"/>
              <w:bottom w:val="single" w:sz="8" w:space="0" w:color="000000"/>
              <w:right w:val="single" w:sz="8" w:space="0" w:color="000000"/>
            </w:tcBorders>
            <w:hideMark/>
          </w:tcPr>
          <w:p w14:paraId="1D2E2564" w14:textId="77777777" w:rsidR="004E6591" w:rsidRDefault="004E6591" w:rsidP="00D2712F">
            <w:pPr>
              <w:rPr>
                <w:rFonts w:eastAsia="Calibri"/>
              </w:rPr>
            </w:pPr>
            <w:r>
              <w:rPr>
                <w:rFonts w:eastAsia="Calibri"/>
              </w:rPr>
              <w:t>Weighting provided in addition to special education level add-on weightings on a per-student basis for attorney’s fees.</w:t>
            </w:r>
          </w:p>
        </w:tc>
        <w:tc>
          <w:tcPr>
            <w:tcW w:w="1684" w:type="dxa"/>
            <w:tcBorders>
              <w:top w:val="single" w:sz="8" w:space="0" w:color="000000"/>
              <w:left w:val="nil"/>
              <w:bottom w:val="single" w:sz="8" w:space="0" w:color="000000"/>
              <w:right w:val="single" w:sz="8" w:space="0" w:color="000000"/>
            </w:tcBorders>
            <w:hideMark/>
          </w:tcPr>
          <w:p w14:paraId="0E5D2CB9" w14:textId="77777777" w:rsidR="004E6591" w:rsidRDefault="004E6591" w:rsidP="00D2712F">
            <w:pPr>
              <w:rPr>
                <w:rFonts w:eastAsia="Calibri"/>
              </w:rPr>
            </w:pPr>
            <w:r>
              <w:rPr>
                <w:rFonts w:eastAsia="Calibri"/>
              </w:rPr>
              <w:t>0.089</w:t>
            </w:r>
          </w:p>
        </w:tc>
        <w:tc>
          <w:tcPr>
            <w:tcW w:w="1807" w:type="dxa"/>
            <w:tcBorders>
              <w:top w:val="single" w:sz="8" w:space="0" w:color="000000"/>
              <w:left w:val="nil"/>
              <w:bottom w:val="single" w:sz="8" w:space="0" w:color="000000"/>
              <w:right w:val="single" w:sz="8" w:space="0" w:color="000000"/>
            </w:tcBorders>
            <w:hideMark/>
          </w:tcPr>
          <w:p w14:paraId="27895BF2" w14:textId="77777777" w:rsidR="004E6591" w:rsidRDefault="004E6591" w:rsidP="00D2712F">
            <w:pPr>
              <w:rPr>
                <w:rFonts w:eastAsia="Calibri"/>
              </w:rPr>
            </w:pPr>
            <w:r>
              <w:rPr>
                <w:rFonts w:eastAsia="Calibri"/>
              </w:rPr>
              <w:t xml:space="preserve">$913 </w:t>
            </w:r>
          </w:p>
        </w:tc>
      </w:tr>
      <w:tr w:rsidR="004E6591" w14:paraId="486FD714" w14:textId="77777777" w:rsidTr="00865498">
        <w:trPr>
          <w:cantSplit/>
        </w:trPr>
        <w:tc>
          <w:tcPr>
            <w:tcW w:w="1711" w:type="dxa"/>
            <w:tcBorders>
              <w:top w:val="single" w:sz="8" w:space="0" w:color="000000"/>
              <w:left w:val="single" w:sz="8" w:space="0" w:color="000000"/>
              <w:bottom w:val="single" w:sz="8" w:space="0" w:color="000000"/>
              <w:right w:val="single" w:sz="8" w:space="0" w:color="000000"/>
            </w:tcBorders>
            <w:shd w:val="clear" w:color="auto" w:fill="FFFFFF"/>
            <w:hideMark/>
          </w:tcPr>
          <w:p w14:paraId="1DCF9FDE" w14:textId="7C7DD89C" w:rsidR="004E6591" w:rsidRDefault="004E6591" w:rsidP="00D2712F">
            <w:pPr>
              <w:rPr>
                <w:rFonts w:eastAsia="Calibri"/>
              </w:rPr>
            </w:pPr>
            <w:r>
              <w:rPr>
                <w:rFonts w:eastAsia="Calibri"/>
              </w:rPr>
              <w:t>“Residential</w:t>
            </w:r>
          </w:p>
        </w:tc>
        <w:tc>
          <w:tcPr>
            <w:tcW w:w="2553" w:type="dxa"/>
            <w:tcBorders>
              <w:top w:val="single" w:sz="8" w:space="0" w:color="000000"/>
              <w:left w:val="nil"/>
              <w:bottom w:val="single" w:sz="8" w:space="0" w:color="000000"/>
              <w:right w:val="single" w:sz="8" w:space="0" w:color="000000"/>
            </w:tcBorders>
            <w:shd w:val="clear" w:color="auto" w:fill="FFFFFF"/>
            <w:hideMark/>
          </w:tcPr>
          <w:p w14:paraId="4134BC8C" w14:textId="77777777" w:rsidR="004E6591" w:rsidRDefault="004E6591" w:rsidP="00D2712F">
            <w:pPr>
              <w:rPr>
                <w:rFonts w:eastAsia="Calibri"/>
              </w:rPr>
            </w:pPr>
            <w:r>
              <w:rPr>
                <w:rFonts w:eastAsia="Calibri"/>
              </w:rPr>
              <w:t>D.C. Public School or public charter school that provides students with room and board in a residential setting, in addition to their instructional program</w:t>
            </w:r>
          </w:p>
        </w:tc>
        <w:tc>
          <w:tcPr>
            <w:tcW w:w="1684" w:type="dxa"/>
            <w:tcBorders>
              <w:top w:val="single" w:sz="8" w:space="0" w:color="000000"/>
              <w:left w:val="nil"/>
              <w:bottom w:val="single" w:sz="8" w:space="0" w:color="000000"/>
              <w:right w:val="single" w:sz="8" w:space="0" w:color="000000"/>
            </w:tcBorders>
            <w:shd w:val="clear" w:color="auto" w:fill="FFFFFF"/>
            <w:hideMark/>
          </w:tcPr>
          <w:p w14:paraId="1F3229D8" w14:textId="77777777" w:rsidR="004E6591" w:rsidRDefault="004E6591" w:rsidP="00D2712F">
            <w:pPr>
              <w:rPr>
                <w:rFonts w:eastAsia="Calibri"/>
              </w:rPr>
            </w:pPr>
            <w:r>
              <w:rPr>
                <w:rFonts w:eastAsia="Calibri"/>
              </w:rPr>
              <w:t>1.67</w:t>
            </w:r>
          </w:p>
        </w:tc>
        <w:tc>
          <w:tcPr>
            <w:tcW w:w="1807" w:type="dxa"/>
            <w:tcBorders>
              <w:top w:val="single" w:sz="8" w:space="0" w:color="000000"/>
              <w:left w:val="nil"/>
              <w:bottom w:val="single" w:sz="8" w:space="0" w:color="000000"/>
              <w:right w:val="single" w:sz="8" w:space="0" w:color="000000"/>
            </w:tcBorders>
            <w:shd w:val="clear" w:color="auto" w:fill="FFFFFF"/>
            <w:hideMark/>
          </w:tcPr>
          <w:p w14:paraId="627BF4EB" w14:textId="77777777" w:rsidR="004E6591" w:rsidRDefault="004E6591" w:rsidP="00D2712F">
            <w:pPr>
              <w:rPr>
                <w:rFonts w:eastAsia="Calibri"/>
              </w:rPr>
            </w:pPr>
            <w:r>
              <w:rPr>
                <w:rFonts w:eastAsia="Calibri"/>
              </w:rPr>
              <w:t xml:space="preserve">$17,129 </w:t>
            </w:r>
          </w:p>
        </w:tc>
      </w:tr>
    </w:tbl>
    <w:p w14:paraId="059AEFD6" w14:textId="77777777" w:rsidR="004E6591" w:rsidRDefault="004E6591" w:rsidP="00D2712F">
      <w:pPr>
        <w:rPr>
          <w:rFonts w:eastAsia="Calibri"/>
        </w:rPr>
      </w:pPr>
      <w:r>
        <w:rPr>
          <w:rFonts w:eastAsia="Calibri"/>
        </w:rPr>
        <w:t> </w:t>
      </w:r>
    </w:p>
    <w:p w14:paraId="23EFA8DB" w14:textId="05014752" w:rsidR="004E6591" w:rsidRDefault="004E6591" w:rsidP="00D2712F">
      <w:pPr>
        <w:rPr>
          <w:rFonts w:eastAsia="Calibri"/>
        </w:rPr>
      </w:pPr>
      <w:r>
        <w:rPr>
          <w:rFonts w:eastAsia="Calibri"/>
        </w:rPr>
        <w:tab/>
        <w:t>“General Education Add-ons:</w:t>
      </w:r>
    </w:p>
    <w:tbl>
      <w:tblPr>
        <w:tblW w:w="0" w:type="auto"/>
        <w:tblInd w:w="898" w:type="dxa"/>
        <w:tblCellMar>
          <w:left w:w="0" w:type="dxa"/>
          <w:right w:w="0" w:type="dxa"/>
        </w:tblCellMar>
        <w:tblLook w:val="04A0" w:firstRow="1" w:lastRow="0" w:firstColumn="1" w:lastColumn="0" w:noHBand="0" w:noVBand="1"/>
      </w:tblPr>
      <w:tblGrid>
        <w:gridCol w:w="1682"/>
        <w:gridCol w:w="2562"/>
        <w:gridCol w:w="1700"/>
        <w:gridCol w:w="1818"/>
      </w:tblGrid>
      <w:tr w:rsidR="004E6591" w14:paraId="4AFD0801" w14:textId="77777777" w:rsidTr="00865498">
        <w:trPr>
          <w:cantSplit/>
        </w:trPr>
        <w:tc>
          <w:tcPr>
            <w:tcW w:w="1682" w:type="dxa"/>
            <w:tcBorders>
              <w:top w:val="single" w:sz="8" w:space="0" w:color="000000"/>
              <w:left w:val="single" w:sz="8" w:space="0" w:color="000000"/>
              <w:bottom w:val="single" w:sz="8" w:space="0" w:color="000000"/>
              <w:right w:val="single" w:sz="8" w:space="0" w:color="000000"/>
            </w:tcBorders>
            <w:hideMark/>
          </w:tcPr>
          <w:p w14:paraId="3C2D914E" w14:textId="0BA00699" w:rsidR="004E6591" w:rsidRDefault="004E6591" w:rsidP="00D2712F">
            <w:pPr>
              <w:rPr>
                <w:rFonts w:eastAsia="Calibri"/>
              </w:rPr>
            </w:pPr>
            <w:r>
              <w:rPr>
                <w:rFonts w:eastAsia="Calibri"/>
              </w:rPr>
              <w:t>“Level/ Program</w:t>
            </w:r>
          </w:p>
        </w:tc>
        <w:tc>
          <w:tcPr>
            <w:tcW w:w="2562" w:type="dxa"/>
            <w:tcBorders>
              <w:top w:val="single" w:sz="8" w:space="0" w:color="000000"/>
              <w:left w:val="nil"/>
              <w:bottom w:val="single" w:sz="8" w:space="0" w:color="000000"/>
              <w:right w:val="single" w:sz="8" w:space="0" w:color="000000"/>
            </w:tcBorders>
            <w:hideMark/>
          </w:tcPr>
          <w:p w14:paraId="3B2C3C92" w14:textId="77777777" w:rsidR="004E6591" w:rsidRDefault="004E6591" w:rsidP="00D2712F">
            <w:pPr>
              <w:rPr>
                <w:rFonts w:eastAsia="Calibri"/>
              </w:rPr>
            </w:pPr>
            <w:r>
              <w:rPr>
                <w:rFonts w:eastAsia="Calibri"/>
              </w:rPr>
              <w:t>Definition</w:t>
            </w:r>
          </w:p>
        </w:tc>
        <w:tc>
          <w:tcPr>
            <w:tcW w:w="1700" w:type="dxa"/>
            <w:tcBorders>
              <w:top w:val="single" w:sz="8" w:space="0" w:color="000000"/>
              <w:left w:val="nil"/>
              <w:bottom w:val="single" w:sz="8" w:space="0" w:color="000000"/>
              <w:right w:val="single" w:sz="8" w:space="0" w:color="000000"/>
            </w:tcBorders>
            <w:hideMark/>
          </w:tcPr>
          <w:p w14:paraId="2B1C81B6" w14:textId="77777777" w:rsidR="004E6591" w:rsidRDefault="004E6591" w:rsidP="00D2712F">
            <w:pPr>
              <w:rPr>
                <w:rFonts w:eastAsia="Calibri"/>
              </w:rPr>
            </w:pPr>
            <w:r>
              <w:rPr>
                <w:rFonts w:eastAsia="Calibri"/>
              </w:rPr>
              <w:t>Weighting</w:t>
            </w:r>
          </w:p>
        </w:tc>
        <w:tc>
          <w:tcPr>
            <w:tcW w:w="1818" w:type="dxa"/>
            <w:tcBorders>
              <w:top w:val="single" w:sz="8" w:space="0" w:color="000000"/>
              <w:left w:val="nil"/>
              <w:bottom w:val="single" w:sz="8" w:space="0" w:color="000000"/>
              <w:right w:val="single" w:sz="8" w:space="0" w:color="000000"/>
            </w:tcBorders>
            <w:hideMark/>
          </w:tcPr>
          <w:p w14:paraId="7FA8E054" w14:textId="77777777" w:rsidR="004E6591" w:rsidRDefault="004E6591" w:rsidP="00D2712F">
            <w:pPr>
              <w:rPr>
                <w:rFonts w:eastAsia="Calibri"/>
              </w:rPr>
            </w:pPr>
            <w:r>
              <w:rPr>
                <w:rFonts w:eastAsia="Calibri"/>
              </w:rPr>
              <w:t>Per Pupil Supplemental Allocation</w:t>
            </w:r>
          </w:p>
          <w:p w14:paraId="0CB30615" w14:textId="77777777" w:rsidR="004E6591" w:rsidRDefault="004E6591" w:rsidP="00D2712F">
            <w:pPr>
              <w:rPr>
                <w:rFonts w:eastAsia="Calibri"/>
              </w:rPr>
            </w:pPr>
            <w:r>
              <w:rPr>
                <w:rFonts w:eastAsia="Calibri"/>
              </w:rPr>
              <w:t>FY 2018</w:t>
            </w:r>
          </w:p>
        </w:tc>
      </w:tr>
      <w:tr w:rsidR="004E6591" w14:paraId="2EF87FE1" w14:textId="77777777" w:rsidTr="00865498">
        <w:trPr>
          <w:cantSplit/>
        </w:trPr>
        <w:tc>
          <w:tcPr>
            <w:tcW w:w="1682" w:type="dxa"/>
            <w:tcBorders>
              <w:top w:val="single" w:sz="8" w:space="0" w:color="000000"/>
              <w:left w:val="single" w:sz="8" w:space="0" w:color="000000"/>
              <w:bottom w:val="single" w:sz="8" w:space="0" w:color="000000"/>
              <w:right w:val="single" w:sz="8" w:space="0" w:color="000000"/>
            </w:tcBorders>
            <w:hideMark/>
          </w:tcPr>
          <w:p w14:paraId="6828E6ED" w14:textId="2244F7E4" w:rsidR="004E6591" w:rsidRDefault="004E6591" w:rsidP="00D2712F">
            <w:pPr>
              <w:rPr>
                <w:rFonts w:eastAsia="Calibri"/>
              </w:rPr>
            </w:pPr>
            <w:r>
              <w:rPr>
                <w:rFonts w:eastAsia="Calibri"/>
              </w:rPr>
              <w:t>“ELL</w:t>
            </w:r>
          </w:p>
        </w:tc>
        <w:tc>
          <w:tcPr>
            <w:tcW w:w="2562" w:type="dxa"/>
            <w:tcBorders>
              <w:top w:val="single" w:sz="8" w:space="0" w:color="000000"/>
              <w:left w:val="nil"/>
              <w:bottom w:val="single" w:sz="8" w:space="0" w:color="000000"/>
              <w:right w:val="single" w:sz="8" w:space="0" w:color="000000"/>
            </w:tcBorders>
            <w:hideMark/>
          </w:tcPr>
          <w:p w14:paraId="043006C4" w14:textId="77777777" w:rsidR="004E6591" w:rsidRDefault="004E6591" w:rsidP="00D2712F">
            <w:pPr>
              <w:rPr>
                <w:rFonts w:eastAsia="Calibri"/>
              </w:rPr>
            </w:pPr>
            <w:r>
              <w:rPr>
                <w:rFonts w:eastAsia="Calibri"/>
              </w:rPr>
              <w:t xml:space="preserve">Additional funding for English Language Learners. </w:t>
            </w:r>
          </w:p>
        </w:tc>
        <w:tc>
          <w:tcPr>
            <w:tcW w:w="1700" w:type="dxa"/>
            <w:tcBorders>
              <w:top w:val="single" w:sz="8" w:space="0" w:color="000000"/>
              <w:left w:val="nil"/>
              <w:bottom w:val="single" w:sz="8" w:space="0" w:color="000000"/>
              <w:right w:val="single" w:sz="8" w:space="0" w:color="000000"/>
            </w:tcBorders>
            <w:hideMark/>
          </w:tcPr>
          <w:p w14:paraId="41803990" w14:textId="77777777" w:rsidR="004E6591" w:rsidRDefault="004E6591" w:rsidP="00D2712F">
            <w:pPr>
              <w:rPr>
                <w:rFonts w:eastAsia="Calibri"/>
              </w:rPr>
            </w:pPr>
            <w:r>
              <w:rPr>
                <w:rFonts w:eastAsia="Calibri"/>
              </w:rPr>
              <w:t>0.49</w:t>
            </w:r>
          </w:p>
        </w:tc>
        <w:tc>
          <w:tcPr>
            <w:tcW w:w="1818" w:type="dxa"/>
            <w:tcBorders>
              <w:top w:val="single" w:sz="8" w:space="0" w:color="000000"/>
              <w:left w:val="nil"/>
              <w:bottom w:val="single" w:sz="8" w:space="0" w:color="000000"/>
              <w:right w:val="single" w:sz="8" w:space="0" w:color="000000"/>
            </w:tcBorders>
            <w:hideMark/>
          </w:tcPr>
          <w:p w14:paraId="6F2D112B" w14:textId="77777777" w:rsidR="004E6591" w:rsidRDefault="004E6591" w:rsidP="00D2712F">
            <w:pPr>
              <w:rPr>
                <w:rFonts w:eastAsia="Calibri"/>
              </w:rPr>
            </w:pPr>
            <w:r>
              <w:rPr>
                <w:rFonts w:eastAsia="Calibri"/>
              </w:rPr>
              <w:t xml:space="preserve">$5,026 </w:t>
            </w:r>
          </w:p>
        </w:tc>
      </w:tr>
      <w:tr w:rsidR="004E6591" w14:paraId="34DE9098" w14:textId="77777777" w:rsidTr="00865498">
        <w:trPr>
          <w:cantSplit/>
        </w:trPr>
        <w:tc>
          <w:tcPr>
            <w:tcW w:w="1682" w:type="dxa"/>
            <w:tcBorders>
              <w:top w:val="single" w:sz="8" w:space="0" w:color="000000"/>
              <w:left w:val="single" w:sz="8" w:space="0" w:color="000000"/>
              <w:bottom w:val="single" w:sz="8" w:space="0" w:color="000000"/>
              <w:right w:val="single" w:sz="8" w:space="0" w:color="000000"/>
            </w:tcBorders>
            <w:hideMark/>
          </w:tcPr>
          <w:p w14:paraId="0E4EABE4" w14:textId="6BDE46C0" w:rsidR="004E6591" w:rsidRDefault="004E6591" w:rsidP="00D2712F">
            <w:pPr>
              <w:rPr>
                <w:rFonts w:eastAsia="Calibri"/>
              </w:rPr>
            </w:pPr>
            <w:r>
              <w:rPr>
                <w:rFonts w:eastAsia="Calibri"/>
              </w:rPr>
              <w:t>“At-risk</w:t>
            </w:r>
          </w:p>
        </w:tc>
        <w:tc>
          <w:tcPr>
            <w:tcW w:w="2562" w:type="dxa"/>
            <w:tcBorders>
              <w:top w:val="single" w:sz="8" w:space="0" w:color="000000"/>
              <w:left w:val="nil"/>
              <w:bottom w:val="single" w:sz="8" w:space="0" w:color="000000"/>
              <w:right w:val="single" w:sz="8" w:space="0" w:color="000000"/>
            </w:tcBorders>
            <w:hideMark/>
          </w:tcPr>
          <w:p w14:paraId="7B24F270" w14:textId="77777777" w:rsidR="004E6591" w:rsidRDefault="004E6591" w:rsidP="00D2712F">
            <w:pPr>
              <w:rPr>
                <w:rFonts w:eastAsia="Calibri"/>
              </w:rPr>
            </w:pPr>
            <w:r>
              <w:rPr>
                <w:rFonts w:eastAsia="Calibri"/>
              </w:rPr>
              <w:t xml:space="preserve">Additional funding for students in foster care, who are homeless, on TANF or SNAP, or behind grade level. </w:t>
            </w:r>
          </w:p>
        </w:tc>
        <w:tc>
          <w:tcPr>
            <w:tcW w:w="1700" w:type="dxa"/>
            <w:tcBorders>
              <w:top w:val="single" w:sz="8" w:space="0" w:color="000000"/>
              <w:left w:val="nil"/>
              <w:bottom w:val="single" w:sz="8" w:space="0" w:color="000000"/>
              <w:right w:val="single" w:sz="8" w:space="0" w:color="000000"/>
            </w:tcBorders>
            <w:hideMark/>
          </w:tcPr>
          <w:p w14:paraId="53759DC2" w14:textId="77777777" w:rsidR="004E6591" w:rsidRDefault="004E6591" w:rsidP="00D2712F">
            <w:pPr>
              <w:rPr>
                <w:rFonts w:eastAsia="Calibri"/>
              </w:rPr>
            </w:pPr>
            <w:r>
              <w:rPr>
                <w:rFonts w:eastAsia="Calibri"/>
              </w:rPr>
              <w:t>0.219</w:t>
            </w:r>
          </w:p>
        </w:tc>
        <w:tc>
          <w:tcPr>
            <w:tcW w:w="1818" w:type="dxa"/>
            <w:tcBorders>
              <w:top w:val="single" w:sz="8" w:space="0" w:color="000000"/>
              <w:left w:val="nil"/>
              <w:bottom w:val="single" w:sz="8" w:space="0" w:color="000000"/>
              <w:right w:val="single" w:sz="8" w:space="0" w:color="000000"/>
            </w:tcBorders>
            <w:hideMark/>
          </w:tcPr>
          <w:p w14:paraId="62320B0B" w14:textId="77777777" w:rsidR="004E6591" w:rsidRDefault="004E6591" w:rsidP="00D2712F">
            <w:pPr>
              <w:rPr>
                <w:rFonts w:eastAsia="Calibri"/>
              </w:rPr>
            </w:pPr>
            <w:r>
              <w:rPr>
                <w:rFonts w:eastAsia="Calibri"/>
              </w:rPr>
              <w:t xml:space="preserve">$2,246 </w:t>
            </w:r>
          </w:p>
        </w:tc>
      </w:tr>
    </w:tbl>
    <w:p w14:paraId="595DEAC3" w14:textId="1FA9491C" w:rsidR="004E6591" w:rsidRDefault="004E6591" w:rsidP="00D2712F">
      <w:pPr>
        <w:rPr>
          <w:rFonts w:eastAsia="Calibri"/>
        </w:rPr>
      </w:pPr>
    </w:p>
    <w:p w14:paraId="030428FD" w14:textId="0E6B9C55" w:rsidR="004E6591" w:rsidRDefault="004E6591" w:rsidP="00D2712F">
      <w:pPr>
        <w:rPr>
          <w:rFonts w:eastAsia="Calibri"/>
        </w:rPr>
      </w:pPr>
      <w:r>
        <w:rPr>
          <w:rFonts w:eastAsia="Calibri"/>
        </w:rPr>
        <w:tab/>
        <w:t>“Residential Add-ons:</w:t>
      </w:r>
    </w:p>
    <w:tbl>
      <w:tblPr>
        <w:tblW w:w="0" w:type="auto"/>
        <w:tblInd w:w="905" w:type="dxa"/>
        <w:tblCellMar>
          <w:left w:w="0" w:type="dxa"/>
          <w:right w:w="0" w:type="dxa"/>
        </w:tblCellMar>
        <w:tblLook w:val="04A0" w:firstRow="1" w:lastRow="0" w:firstColumn="1" w:lastColumn="0" w:noHBand="0" w:noVBand="1"/>
      </w:tblPr>
      <w:tblGrid>
        <w:gridCol w:w="1700"/>
        <w:gridCol w:w="2552"/>
        <w:gridCol w:w="1691"/>
        <w:gridCol w:w="1812"/>
      </w:tblGrid>
      <w:tr w:rsidR="004E6591" w14:paraId="4648B22B" w14:textId="77777777" w:rsidTr="00865498">
        <w:trPr>
          <w:cantSplit/>
        </w:trPr>
        <w:tc>
          <w:tcPr>
            <w:tcW w:w="1700" w:type="dxa"/>
            <w:tcBorders>
              <w:top w:val="single" w:sz="8" w:space="0" w:color="000000"/>
              <w:left w:val="single" w:sz="8" w:space="0" w:color="000000"/>
              <w:bottom w:val="single" w:sz="8" w:space="0" w:color="000000"/>
              <w:right w:val="single" w:sz="8" w:space="0" w:color="000000"/>
            </w:tcBorders>
            <w:hideMark/>
          </w:tcPr>
          <w:p w14:paraId="51A525D6" w14:textId="054C04A5" w:rsidR="004E6591" w:rsidRDefault="004E6591" w:rsidP="00D2712F">
            <w:pPr>
              <w:rPr>
                <w:rFonts w:eastAsia="Calibri"/>
              </w:rPr>
            </w:pPr>
            <w:r>
              <w:rPr>
                <w:rFonts w:eastAsia="Calibri"/>
              </w:rPr>
              <w:t>“Level/ Program</w:t>
            </w:r>
          </w:p>
        </w:tc>
        <w:tc>
          <w:tcPr>
            <w:tcW w:w="2552" w:type="dxa"/>
            <w:tcBorders>
              <w:top w:val="single" w:sz="8" w:space="0" w:color="000000"/>
              <w:left w:val="nil"/>
              <w:bottom w:val="single" w:sz="8" w:space="0" w:color="000000"/>
              <w:right w:val="single" w:sz="8" w:space="0" w:color="000000"/>
            </w:tcBorders>
            <w:hideMark/>
          </w:tcPr>
          <w:p w14:paraId="47A957DD" w14:textId="77777777" w:rsidR="004E6591" w:rsidRDefault="004E6591" w:rsidP="00D2712F">
            <w:pPr>
              <w:rPr>
                <w:rFonts w:eastAsia="Calibri"/>
              </w:rPr>
            </w:pPr>
            <w:r>
              <w:rPr>
                <w:rFonts w:eastAsia="Calibri"/>
              </w:rPr>
              <w:t>Definition</w:t>
            </w:r>
          </w:p>
        </w:tc>
        <w:tc>
          <w:tcPr>
            <w:tcW w:w="1691" w:type="dxa"/>
            <w:tcBorders>
              <w:top w:val="single" w:sz="8" w:space="0" w:color="000000"/>
              <w:left w:val="nil"/>
              <w:bottom w:val="single" w:sz="8" w:space="0" w:color="000000"/>
              <w:right w:val="single" w:sz="8" w:space="0" w:color="000000"/>
            </w:tcBorders>
            <w:hideMark/>
          </w:tcPr>
          <w:p w14:paraId="469C90F4" w14:textId="77777777" w:rsidR="004E6591" w:rsidRDefault="004E6591" w:rsidP="00D2712F">
            <w:pPr>
              <w:rPr>
                <w:rFonts w:eastAsia="Calibri"/>
              </w:rPr>
            </w:pPr>
            <w:r>
              <w:rPr>
                <w:rFonts w:eastAsia="Calibri"/>
              </w:rPr>
              <w:t>Weighting</w:t>
            </w:r>
          </w:p>
        </w:tc>
        <w:tc>
          <w:tcPr>
            <w:tcW w:w="1812" w:type="dxa"/>
            <w:tcBorders>
              <w:top w:val="single" w:sz="8" w:space="0" w:color="000000"/>
              <w:left w:val="nil"/>
              <w:bottom w:val="single" w:sz="8" w:space="0" w:color="000000"/>
              <w:right w:val="single" w:sz="8" w:space="0" w:color="000000"/>
            </w:tcBorders>
            <w:hideMark/>
          </w:tcPr>
          <w:p w14:paraId="7F71A80B" w14:textId="77777777" w:rsidR="004E6591" w:rsidRDefault="004E6591" w:rsidP="00D2712F">
            <w:pPr>
              <w:rPr>
                <w:rFonts w:eastAsia="Calibri"/>
              </w:rPr>
            </w:pPr>
            <w:r>
              <w:rPr>
                <w:rFonts w:eastAsia="Calibri"/>
              </w:rPr>
              <w:t>Per Pupil Supplemental Allocation FY 2018</w:t>
            </w:r>
          </w:p>
        </w:tc>
      </w:tr>
      <w:tr w:rsidR="004E6591" w14:paraId="01F83BEB" w14:textId="77777777" w:rsidTr="00865498">
        <w:trPr>
          <w:cantSplit/>
        </w:trPr>
        <w:tc>
          <w:tcPr>
            <w:tcW w:w="1700" w:type="dxa"/>
            <w:tcBorders>
              <w:top w:val="nil"/>
              <w:left w:val="single" w:sz="8" w:space="0" w:color="000000"/>
              <w:bottom w:val="single" w:sz="8" w:space="0" w:color="000000"/>
              <w:right w:val="single" w:sz="8" w:space="0" w:color="000000"/>
            </w:tcBorders>
            <w:hideMark/>
          </w:tcPr>
          <w:p w14:paraId="6DE80558" w14:textId="5965BAE6" w:rsidR="004E6591" w:rsidRDefault="004E6591" w:rsidP="00D2712F">
            <w:pPr>
              <w:rPr>
                <w:rFonts w:eastAsia="Calibri"/>
              </w:rPr>
            </w:pPr>
            <w:r>
              <w:rPr>
                <w:rFonts w:eastAsia="Calibri"/>
              </w:rPr>
              <w:t>“Level 1: Special Education - Residential</w:t>
            </w:r>
          </w:p>
        </w:tc>
        <w:tc>
          <w:tcPr>
            <w:tcW w:w="2552" w:type="dxa"/>
            <w:tcBorders>
              <w:top w:val="nil"/>
              <w:left w:val="nil"/>
              <w:bottom w:val="single" w:sz="8" w:space="0" w:color="000000"/>
              <w:right w:val="single" w:sz="8" w:space="0" w:color="000000"/>
            </w:tcBorders>
            <w:hideMark/>
          </w:tcPr>
          <w:p w14:paraId="7921E61E" w14:textId="77777777" w:rsidR="004E6591" w:rsidRDefault="004E6591" w:rsidP="00D2712F">
            <w:pPr>
              <w:rPr>
                <w:rFonts w:eastAsia="Calibri"/>
              </w:rPr>
            </w:pPr>
            <w:r>
              <w:rPr>
                <w:rFonts w:eastAsia="Calibri"/>
              </w:rPr>
              <w:t>Additional funding to support the after-hours level 1 special education needs of students living in a D.C. Public School or public charter school that provides students with room and board in a residential setting</w:t>
            </w:r>
          </w:p>
        </w:tc>
        <w:tc>
          <w:tcPr>
            <w:tcW w:w="1691" w:type="dxa"/>
            <w:tcBorders>
              <w:top w:val="nil"/>
              <w:left w:val="nil"/>
              <w:bottom w:val="single" w:sz="8" w:space="0" w:color="000000"/>
              <w:right w:val="single" w:sz="8" w:space="0" w:color="000000"/>
            </w:tcBorders>
            <w:hideMark/>
          </w:tcPr>
          <w:p w14:paraId="2486157F" w14:textId="77777777" w:rsidR="004E6591" w:rsidRDefault="004E6591" w:rsidP="00D2712F">
            <w:pPr>
              <w:rPr>
                <w:rFonts w:eastAsia="Calibri"/>
              </w:rPr>
            </w:pPr>
            <w:r>
              <w:rPr>
                <w:rFonts w:eastAsia="Calibri"/>
              </w:rPr>
              <w:t>0.368</w:t>
            </w:r>
          </w:p>
        </w:tc>
        <w:tc>
          <w:tcPr>
            <w:tcW w:w="1812" w:type="dxa"/>
            <w:tcBorders>
              <w:top w:val="nil"/>
              <w:left w:val="nil"/>
              <w:bottom w:val="single" w:sz="8" w:space="0" w:color="000000"/>
              <w:right w:val="single" w:sz="8" w:space="0" w:color="000000"/>
            </w:tcBorders>
            <w:hideMark/>
          </w:tcPr>
          <w:p w14:paraId="46F361B5" w14:textId="77777777" w:rsidR="004E6591" w:rsidRDefault="004E6591" w:rsidP="00D2712F">
            <w:pPr>
              <w:rPr>
                <w:rFonts w:eastAsia="Calibri"/>
              </w:rPr>
            </w:pPr>
            <w:r>
              <w:rPr>
                <w:rFonts w:eastAsia="Calibri"/>
              </w:rPr>
              <w:t xml:space="preserve">$3,775 </w:t>
            </w:r>
          </w:p>
        </w:tc>
      </w:tr>
      <w:tr w:rsidR="004E6591" w14:paraId="7E616A41" w14:textId="77777777" w:rsidTr="00865498">
        <w:trPr>
          <w:cantSplit/>
        </w:trPr>
        <w:tc>
          <w:tcPr>
            <w:tcW w:w="1700" w:type="dxa"/>
            <w:tcBorders>
              <w:top w:val="nil"/>
              <w:left w:val="single" w:sz="8" w:space="0" w:color="000000"/>
              <w:bottom w:val="single" w:sz="8" w:space="0" w:color="000000"/>
              <w:right w:val="single" w:sz="8" w:space="0" w:color="000000"/>
            </w:tcBorders>
            <w:hideMark/>
          </w:tcPr>
          <w:p w14:paraId="2B1F4DB6" w14:textId="5EC10C51" w:rsidR="004E6591" w:rsidRDefault="004E6591" w:rsidP="00D2712F">
            <w:pPr>
              <w:rPr>
                <w:rFonts w:eastAsia="Calibri"/>
              </w:rPr>
            </w:pPr>
            <w:r>
              <w:rPr>
                <w:rFonts w:eastAsia="Calibri"/>
              </w:rPr>
              <w:t>“Level 2: Special Education - Residential</w:t>
            </w:r>
          </w:p>
        </w:tc>
        <w:tc>
          <w:tcPr>
            <w:tcW w:w="2552" w:type="dxa"/>
            <w:tcBorders>
              <w:top w:val="nil"/>
              <w:left w:val="nil"/>
              <w:bottom w:val="single" w:sz="8" w:space="0" w:color="000000"/>
              <w:right w:val="single" w:sz="8" w:space="0" w:color="000000"/>
            </w:tcBorders>
            <w:hideMark/>
          </w:tcPr>
          <w:p w14:paraId="6AF50074" w14:textId="77777777" w:rsidR="004E6591" w:rsidRDefault="004E6591" w:rsidP="00D2712F">
            <w:pPr>
              <w:rPr>
                <w:rFonts w:eastAsia="Calibri"/>
              </w:rPr>
            </w:pPr>
            <w:r>
              <w:rPr>
                <w:rFonts w:eastAsia="Calibri"/>
              </w:rPr>
              <w:t>Additional funding to support the after-hours level 2 special education needs of students living in a D.C. Public School or public charter school that provides students with room and board in a residential setting</w:t>
            </w:r>
          </w:p>
        </w:tc>
        <w:tc>
          <w:tcPr>
            <w:tcW w:w="1691" w:type="dxa"/>
            <w:tcBorders>
              <w:top w:val="nil"/>
              <w:left w:val="nil"/>
              <w:bottom w:val="single" w:sz="8" w:space="0" w:color="000000"/>
              <w:right w:val="single" w:sz="8" w:space="0" w:color="000000"/>
            </w:tcBorders>
            <w:hideMark/>
          </w:tcPr>
          <w:p w14:paraId="541F61F8" w14:textId="77777777" w:rsidR="004E6591" w:rsidRDefault="004E6591" w:rsidP="00D2712F">
            <w:pPr>
              <w:rPr>
                <w:rFonts w:eastAsia="Calibri"/>
              </w:rPr>
            </w:pPr>
            <w:r>
              <w:rPr>
                <w:rFonts w:eastAsia="Calibri"/>
              </w:rPr>
              <w:t>1.337</w:t>
            </w:r>
          </w:p>
        </w:tc>
        <w:tc>
          <w:tcPr>
            <w:tcW w:w="1812" w:type="dxa"/>
            <w:tcBorders>
              <w:top w:val="nil"/>
              <w:left w:val="nil"/>
              <w:bottom w:val="single" w:sz="8" w:space="0" w:color="000000"/>
              <w:right w:val="single" w:sz="8" w:space="0" w:color="000000"/>
            </w:tcBorders>
            <w:hideMark/>
          </w:tcPr>
          <w:p w14:paraId="52FE3C70" w14:textId="77777777" w:rsidR="004E6591" w:rsidRDefault="004E6591" w:rsidP="00D2712F">
            <w:pPr>
              <w:rPr>
                <w:rFonts w:eastAsia="Calibri"/>
              </w:rPr>
            </w:pPr>
            <w:r>
              <w:rPr>
                <w:rFonts w:eastAsia="Calibri"/>
              </w:rPr>
              <w:t xml:space="preserve">$13,714 </w:t>
            </w:r>
          </w:p>
        </w:tc>
      </w:tr>
      <w:tr w:rsidR="004E6591" w14:paraId="244A406A" w14:textId="77777777" w:rsidTr="00865498">
        <w:trPr>
          <w:cantSplit/>
        </w:trPr>
        <w:tc>
          <w:tcPr>
            <w:tcW w:w="1700" w:type="dxa"/>
            <w:tcBorders>
              <w:top w:val="nil"/>
              <w:left w:val="single" w:sz="8" w:space="0" w:color="000000"/>
              <w:bottom w:val="single" w:sz="8" w:space="0" w:color="000000"/>
              <w:right w:val="single" w:sz="8" w:space="0" w:color="000000"/>
            </w:tcBorders>
            <w:hideMark/>
          </w:tcPr>
          <w:p w14:paraId="7A362A15" w14:textId="59D5CE2F" w:rsidR="004E6591" w:rsidRDefault="004E6591" w:rsidP="00D2712F">
            <w:pPr>
              <w:rPr>
                <w:rFonts w:eastAsia="Calibri"/>
              </w:rPr>
            </w:pPr>
            <w:r>
              <w:rPr>
                <w:rFonts w:eastAsia="Calibri"/>
              </w:rPr>
              <w:t>“Level 3: Special Education - Residential</w:t>
            </w:r>
          </w:p>
        </w:tc>
        <w:tc>
          <w:tcPr>
            <w:tcW w:w="2552" w:type="dxa"/>
            <w:tcBorders>
              <w:top w:val="nil"/>
              <w:left w:val="nil"/>
              <w:bottom w:val="single" w:sz="8" w:space="0" w:color="000000"/>
              <w:right w:val="single" w:sz="8" w:space="0" w:color="000000"/>
            </w:tcBorders>
            <w:hideMark/>
          </w:tcPr>
          <w:p w14:paraId="0AF96C2E" w14:textId="77777777" w:rsidR="004E6591" w:rsidRDefault="004E6591" w:rsidP="00D2712F">
            <w:pPr>
              <w:rPr>
                <w:rFonts w:eastAsia="Calibri"/>
              </w:rPr>
            </w:pPr>
            <w:r>
              <w:rPr>
                <w:rFonts w:eastAsia="Calibri"/>
              </w:rPr>
              <w:t>Additional funding to support the after-hours level 3 special education needs of students living in a D.C. Public School or public charter school that provides students with room and board in a residential setting</w:t>
            </w:r>
          </w:p>
        </w:tc>
        <w:tc>
          <w:tcPr>
            <w:tcW w:w="1691" w:type="dxa"/>
            <w:tcBorders>
              <w:top w:val="nil"/>
              <w:left w:val="nil"/>
              <w:bottom w:val="single" w:sz="8" w:space="0" w:color="000000"/>
              <w:right w:val="single" w:sz="8" w:space="0" w:color="000000"/>
            </w:tcBorders>
            <w:hideMark/>
          </w:tcPr>
          <w:p w14:paraId="1DB7E0A1" w14:textId="77777777" w:rsidR="004E6591" w:rsidRDefault="004E6591" w:rsidP="00D2712F">
            <w:pPr>
              <w:rPr>
                <w:rFonts w:eastAsia="Calibri"/>
              </w:rPr>
            </w:pPr>
            <w:r>
              <w:rPr>
                <w:rFonts w:eastAsia="Calibri"/>
              </w:rPr>
              <w:t>2.891</w:t>
            </w:r>
          </w:p>
        </w:tc>
        <w:tc>
          <w:tcPr>
            <w:tcW w:w="1812" w:type="dxa"/>
            <w:tcBorders>
              <w:top w:val="nil"/>
              <w:left w:val="nil"/>
              <w:bottom w:val="single" w:sz="8" w:space="0" w:color="000000"/>
              <w:right w:val="single" w:sz="8" w:space="0" w:color="000000"/>
            </w:tcBorders>
            <w:hideMark/>
          </w:tcPr>
          <w:p w14:paraId="323131A4" w14:textId="77777777" w:rsidR="004E6591" w:rsidRDefault="004E6591" w:rsidP="00D2712F">
            <w:pPr>
              <w:rPr>
                <w:rFonts w:eastAsia="Calibri"/>
              </w:rPr>
            </w:pPr>
            <w:r>
              <w:rPr>
                <w:rFonts w:eastAsia="Calibri"/>
              </w:rPr>
              <w:t xml:space="preserve">$29,653 </w:t>
            </w:r>
          </w:p>
        </w:tc>
      </w:tr>
      <w:tr w:rsidR="004E6591" w14:paraId="78A98693" w14:textId="77777777" w:rsidTr="00865498">
        <w:trPr>
          <w:cantSplit/>
        </w:trPr>
        <w:tc>
          <w:tcPr>
            <w:tcW w:w="1700" w:type="dxa"/>
            <w:tcBorders>
              <w:top w:val="nil"/>
              <w:left w:val="single" w:sz="8" w:space="0" w:color="000000"/>
              <w:bottom w:val="single" w:sz="8" w:space="0" w:color="000000"/>
              <w:right w:val="single" w:sz="8" w:space="0" w:color="000000"/>
            </w:tcBorders>
            <w:hideMark/>
          </w:tcPr>
          <w:p w14:paraId="4F95E232" w14:textId="15EA547A" w:rsidR="004E6591" w:rsidRDefault="004E6591" w:rsidP="00D2712F">
            <w:pPr>
              <w:rPr>
                <w:rFonts w:eastAsia="Calibri"/>
              </w:rPr>
            </w:pPr>
            <w:r>
              <w:rPr>
                <w:rFonts w:eastAsia="Calibri"/>
              </w:rPr>
              <w:t>“Level 4: Special Education - Residential</w:t>
            </w:r>
          </w:p>
        </w:tc>
        <w:tc>
          <w:tcPr>
            <w:tcW w:w="2552" w:type="dxa"/>
            <w:tcBorders>
              <w:top w:val="nil"/>
              <w:left w:val="nil"/>
              <w:bottom w:val="single" w:sz="8" w:space="0" w:color="000000"/>
              <w:right w:val="single" w:sz="8" w:space="0" w:color="000000"/>
            </w:tcBorders>
            <w:hideMark/>
          </w:tcPr>
          <w:p w14:paraId="44138124" w14:textId="77777777" w:rsidR="004E6591" w:rsidRDefault="004E6591" w:rsidP="00D2712F">
            <w:pPr>
              <w:rPr>
                <w:rFonts w:eastAsia="Calibri"/>
              </w:rPr>
            </w:pPr>
            <w:r>
              <w:rPr>
                <w:rFonts w:eastAsia="Calibri"/>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1691" w:type="dxa"/>
            <w:tcBorders>
              <w:top w:val="nil"/>
              <w:left w:val="nil"/>
              <w:bottom w:val="single" w:sz="8" w:space="0" w:color="000000"/>
              <w:right w:val="single" w:sz="8" w:space="0" w:color="000000"/>
            </w:tcBorders>
            <w:hideMark/>
          </w:tcPr>
          <w:p w14:paraId="3B4E07E9" w14:textId="77777777" w:rsidR="004E6591" w:rsidRDefault="004E6591" w:rsidP="00D2712F">
            <w:pPr>
              <w:rPr>
                <w:rFonts w:eastAsia="Calibri"/>
              </w:rPr>
            </w:pPr>
            <w:r>
              <w:rPr>
                <w:rFonts w:eastAsia="Calibri"/>
              </w:rPr>
              <w:t>2.891</w:t>
            </w:r>
          </w:p>
        </w:tc>
        <w:tc>
          <w:tcPr>
            <w:tcW w:w="1812" w:type="dxa"/>
            <w:tcBorders>
              <w:top w:val="nil"/>
              <w:left w:val="nil"/>
              <w:bottom w:val="single" w:sz="8" w:space="0" w:color="000000"/>
              <w:right w:val="single" w:sz="8" w:space="0" w:color="000000"/>
            </w:tcBorders>
            <w:hideMark/>
          </w:tcPr>
          <w:p w14:paraId="3B925A93" w14:textId="77777777" w:rsidR="004E6591" w:rsidRDefault="004E6591" w:rsidP="00D2712F">
            <w:pPr>
              <w:rPr>
                <w:rFonts w:eastAsia="Calibri"/>
              </w:rPr>
            </w:pPr>
            <w:r>
              <w:rPr>
                <w:rFonts w:eastAsia="Calibri"/>
              </w:rPr>
              <w:t xml:space="preserve">$29,653 </w:t>
            </w:r>
          </w:p>
        </w:tc>
      </w:tr>
      <w:tr w:rsidR="004E6591" w14:paraId="6928C690" w14:textId="77777777" w:rsidTr="00865498">
        <w:trPr>
          <w:cantSplit/>
        </w:trPr>
        <w:tc>
          <w:tcPr>
            <w:tcW w:w="1700" w:type="dxa"/>
            <w:tcBorders>
              <w:top w:val="nil"/>
              <w:left w:val="single" w:sz="8" w:space="0" w:color="000000"/>
              <w:bottom w:val="single" w:sz="8" w:space="0" w:color="000000"/>
              <w:right w:val="single" w:sz="8" w:space="0" w:color="000000"/>
            </w:tcBorders>
            <w:shd w:val="clear" w:color="auto" w:fill="FFFFFF"/>
            <w:hideMark/>
          </w:tcPr>
          <w:p w14:paraId="1A9CB90E" w14:textId="71F01CA0" w:rsidR="004E6591" w:rsidRDefault="004E6591" w:rsidP="00D2712F">
            <w:pPr>
              <w:rPr>
                <w:rFonts w:eastAsia="Calibri"/>
              </w:rPr>
            </w:pPr>
            <w:r>
              <w:rPr>
                <w:rFonts w:eastAsia="Calibri"/>
              </w:rPr>
              <w:lastRenderedPageBreak/>
              <w:t>“LEP/NEP -</w:t>
            </w:r>
          </w:p>
          <w:p w14:paraId="0974071C" w14:textId="77777777" w:rsidR="004E6591" w:rsidRDefault="004E6591" w:rsidP="00D2712F">
            <w:pPr>
              <w:rPr>
                <w:rFonts w:eastAsia="Calibri"/>
              </w:rPr>
            </w:pPr>
            <w:r>
              <w:rPr>
                <w:rFonts w:eastAsia="Calibri"/>
              </w:rPr>
              <w:t>Residential</w:t>
            </w:r>
          </w:p>
        </w:tc>
        <w:tc>
          <w:tcPr>
            <w:tcW w:w="2552" w:type="dxa"/>
            <w:tcBorders>
              <w:top w:val="nil"/>
              <w:left w:val="nil"/>
              <w:bottom w:val="single" w:sz="8" w:space="0" w:color="000000"/>
              <w:right w:val="single" w:sz="8" w:space="0" w:color="000000"/>
            </w:tcBorders>
            <w:shd w:val="clear" w:color="auto" w:fill="FFFFFF"/>
            <w:hideMark/>
          </w:tcPr>
          <w:p w14:paraId="4341796A" w14:textId="77777777" w:rsidR="004E6591" w:rsidRDefault="004E6591" w:rsidP="00D2712F">
            <w:pPr>
              <w:rPr>
                <w:rFonts w:eastAsia="Calibri"/>
              </w:rPr>
            </w:pPr>
            <w:r>
              <w:rPr>
                <w:rFonts w:eastAsia="Calibri"/>
              </w:rPr>
              <w:t>Additional funding to support the after-hours limited and non-English proficiency needs of students living in a D.C. Public School or public charter school that provides students with room and board in a residential setting</w:t>
            </w:r>
          </w:p>
        </w:tc>
        <w:tc>
          <w:tcPr>
            <w:tcW w:w="1691" w:type="dxa"/>
            <w:tcBorders>
              <w:top w:val="nil"/>
              <w:left w:val="nil"/>
              <w:bottom w:val="single" w:sz="8" w:space="0" w:color="000000"/>
              <w:right w:val="single" w:sz="8" w:space="0" w:color="000000"/>
            </w:tcBorders>
            <w:shd w:val="clear" w:color="auto" w:fill="FFFFFF"/>
            <w:hideMark/>
          </w:tcPr>
          <w:p w14:paraId="41DBB2D8" w14:textId="77777777" w:rsidR="004E6591" w:rsidRDefault="004E6591" w:rsidP="00D2712F">
            <w:pPr>
              <w:rPr>
                <w:rFonts w:eastAsia="Calibri"/>
              </w:rPr>
            </w:pPr>
            <w:r>
              <w:rPr>
                <w:rFonts w:eastAsia="Calibri"/>
              </w:rPr>
              <w:t>0.668</w:t>
            </w:r>
          </w:p>
        </w:tc>
        <w:tc>
          <w:tcPr>
            <w:tcW w:w="1812" w:type="dxa"/>
            <w:tcBorders>
              <w:top w:val="nil"/>
              <w:left w:val="nil"/>
              <w:bottom w:val="single" w:sz="8" w:space="0" w:color="000000"/>
              <w:right w:val="single" w:sz="8" w:space="0" w:color="000000"/>
            </w:tcBorders>
            <w:shd w:val="clear" w:color="auto" w:fill="FFFFFF"/>
            <w:hideMark/>
          </w:tcPr>
          <w:p w14:paraId="2468F26B" w14:textId="77777777" w:rsidR="004E6591" w:rsidRDefault="004E6591" w:rsidP="00D2712F">
            <w:pPr>
              <w:rPr>
                <w:rFonts w:eastAsia="Calibri"/>
              </w:rPr>
            </w:pPr>
            <w:r>
              <w:rPr>
                <w:rFonts w:eastAsia="Calibri"/>
              </w:rPr>
              <w:t xml:space="preserve">$6,852 </w:t>
            </w:r>
          </w:p>
        </w:tc>
      </w:tr>
    </w:tbl>
    <w:p w14:paraId="5C567E64" w14:textId="77777777" w:rsidR="004E6591" w:rsidRDefault="004E6591" w:rsidP="00D2712F">
      <w:pPr>
        <w:rPr>
          <w:rFonts w:eastAsia="Calibri"/>
        </w:rPr>
      </w:pPr>
    </w:p>
    <w:p w14:paraId="7D3BBABC" w14:textId="2A17E9D4" w:rsidR="004E6591" w:rsidRDefault="004E6591" w:rsidP="00006F0B">
      <w:pPr>
        <w:spacing w:line="480" w:lineRule="auto"/>
        <w:rPr>
          <w:rFonts w:eastAsia="Calibri"/>
        </w:rPr>
      </w:pPr>
      <w:r>
        <w:rPr>
          <w:rFonts w:eastAsia="Calibri"/>
        </w:rPr>
        <w:tab/>
        <w:t>“Special Education Add-ons for Students with Extended School Year (“ESY”) Indicated in Their Individualized Education Programs (“IEPs”):</w:t>
      </w:r>
    </w:p>
    <w:tbl>
      <w:tblPr>
        <w:tblW w:w="8640" w:type="dxa"/>
        <w:tblInd w:w="905" w:type="dxa"/>
        <w:tblCellMar>
          <w:left w:w="0" w:type="dxa"/>
          <w:right w:w="0" w:type="dxa"/>
        </w:tblCellMar>
        <w:tblLook w:val="04A0" w:firstRow="1" w:lastRow="0" w:firstColumn="1" w:lastColumn="0" w:noHBand="0" w:noVBand="1"/>
      </w:tblPr>
      <w:tblGrid>
        <w:gridCol w:w="1800"/>
        <w:gridCol w:w="2790"/>
        <w:gridCol w:w="1800"/>
        <w:gridCol w:w="1890"/>
        <w:gridCol w:w="360"/>
      </w:tblGrid>
      <w:tr w:rsidR="004E6591" w14:paraId="757F7667" w14:textId="77777777" w:rsidTr="00865498">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7777BA86" w14:textId="2F05635B" w:rsidR="004E6591" w:rsidRDefault="004E6591" w:rsidP="00D2712F">
            <w:pPr>
              <w:rPr>
                <w:rFonts w:eastAsia="Calibri"/>
              </w:rPr>
            </w:pPr>
            <w:r>
              <w:rPr>
                <w:rFonts w:eastAsia="Calibri"/>
              </w:rPr>
              <w:t>“Level/ Program</w:t>
            </w:r>
          </w:p>
        </w:tc>
        <w:tc>
          <w:tcPr>
            <w:tcW w:w="2790" w:type="dxa"/>
            <w:tcBorders>
              <w:top w:val="single" w:sz="8" w:space="0" w:color="000000"/>
              <w:left w:val="nil"/>
              <w:bottom w:val="single" w:sz="8" w:space="0" w:color="000000"/>
              <w:right w:val="single" w:sz="8" w:space="0" w:color="000000"/>
            </w:tcBorders>
            <w:hideMark/>
          </w:tcPr>
          <w:p w14:paraId="473BAD2D" w14:textId="77777777" w:rsidR="004E6591" w:rsidRDefault="004E6591" w:rsidP="00D2712F">
            <w:pPr>
              <w:rPr>
                <w:rFonts w:eastAsia="Calibri"/>
              </w:rPr>
            </w:pPr>
            <w:r>
              <w:rPr>
                <w:rFonts w:eastAsia="Calibri"/>
              </w:rPr>
              <w:t>Definition</w:t>
            </w:r>
          </w:p>
        </w:tc>
        <w:tc>
          <w:tcPr>
            <w:tcW w:w="1800" w:type="dxa"/>
            <w:tcBorders>
              <w:top w:val="single" w:sz="8" w:space="0" w:color="000000"/>
              <w:left w:val="nil"/>
              <w:bottom w:val="single" w:sz="8" w:space="0" w:color="000000"/>
              <w:right w:val="single" w:sz="8" w:space="0" w:color="000000"/>
            </w:tcBorders>
            <w:hideMark/>
          </w:tcPr>
          <w:p w14:paraId="576F72FC" w14:textId="77777777" w:rsidR="004E6591" w:rsidRDefault="004E6591" w:rsidP="00D2712F">
            <w:pPr>
              <w:rPr>
                <w:rFonts w:eastAsia="Calibri"/>
              </w:rPr>
            </w:pPr>
            <w:r>
              <w:rPr>
                <w:rFonts w:eastAsia="Calibri"/>
              </w:rPr>
              <w:t>Weighting</w:t>
            </w:r>
          </w:p>
        </w:tc>
        <w:tc>
          <w:tcPr>
            <w:tcW w:w="1890" w:type="dxa"/>
            <w:tcBorders>
              <w:top w:val="single" w:sz="8" w:space="0" w:color="000000"/>
              <w:left w:val="nil"/>
              <w:bottom w:val="single" w:sz="8" w:space="0" w:color="000000"/>
              <w:right w:val="single" w:sz="8" w:space="0" w:color="000000"/>
            </w:tcBorders>
            <w:hideMark/>
          </w:tcPr>
          <w:p w14:paraId="699B0D01" w14:textId="77777777" w:rsidR="004E6591" w:rsidRDefault="004E6591" w:rsidP="00D2712F">
            <w:pPr>
              <w:rPr>
                <w:rFonts w:eastAsia="Calibri"/>
              </w:rPr>
            </w:pPr>
            <w:r>
              <w:rPr>
                <w:rFonts w:eastAsia="Calibri"/>
              </w:rPr>
              <w:t>Per Pupil Supplemental Allocation FY 2018</w:t>
            </w:r>
          </w:p>
        </w:tc>
        <w:tc>
          <w:tcPr>
            <w:tcW w:w="360" w:type="dxa"/>
            <w:vAlign w:val="center"/>
            <w:hideMark/>
          </w:tcPr>
          <w:p w14:paraId="7C4EC8EF" w14:textId="77777777" w:rsidR="004E6591" w:rsidRDefault="004E6591" w:rsidP="00D2712F">
            <w:pPr>
              <w:rPr>
                <w:rFonts w:eastAsia="Calibri"/>
              </w:rPr>
            </w:pPr>
            <w:r>
              <w:rPr>
                <w:rFonts w:eastAsia="Calibri"/>
              </w:rPr>
              <w:t> </w:t>
            </w:r>
          </w:p>
        </w:tc>
      </w:tr>
      <w:tr w:rsidR="004E6591" w14:paraId="5F091BE4" w14:textId="77777777" w:rsidTr="00865498">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35EE37BE" w14:textId="14D327B0" w:rsidR="004E6591" w:rsidRDefault="004E6591" w:rsidP="00D2712F">
            <w:pPr>
              <w:rPr>
                <w:rFonts w:eastAsia="Calibri"/>
              </w:rPr>
            </w:pPr>
            <w:r>
              <w:rPr>
                <w:rFonts w:eastAsia="Calibri"/>
              </w:rPr>
              <w:t>“Special Education Level 1 ESY</w:t>
            </w:r>
          </w:p>
        </w:tc>
        <w:tc>
          <w:tcPr>
            <w:tcW w:w="2790" w:type="dxa"/>
            <w:tcBorders>
              <w:top w:val="single" w:sz="8" w:space="0" w:color="000000"/>
              <w:left w:val="nil"/>
              <w:bottom w:val="single" w:sz="8" w:space="0" w:color="000000"/>
              <w:right w:val="single" w:sz="8" w:space="0" w:color="000000"/>
            </w:tcBorders>
            <w:hideMark/>
          </w:tcPr>
          <w:p w14:paraId="0EDD4446" w14:textId="77777777" w:rsidR="004E6591" w:rsidRDefault="004E6591" w:rsidP="00D2712F">
            <w:pPr>
              <w:rPr>
                <w:rFonts w:eastAsia="Calibri"/>
              </w:rPr>
            </w:pPr>
            <w:r>
              <w:rPr>
                <w:rFonts w:eastAsia="Calibri"/>
              </w:rPr>
              <w:t>Additional funding to support the summer school or program need for students who require extended school year (ESY) services in their IEPs.</w:t>
            </w:r>
          </w:p>
        </w:tc>
        <w:tc>
          <w:tcPr>
            <w:tcW w:w="1800" w:type="dxa"/>
            <w:tcBorders>
              <w:top w:val="single" w:sz="8" w:space="0" w:color="000000"/>
              <w:left w:val="nil"/>
              <w:bottom w:val="single" w:sz="8" w:space="0" w:color="000000"/>
              <w:right w:val="single" w:sz="8" w:space="0" w:color="000000"/>
            </w:tcBorders>
            <w:hideMark/>
          </w:tcPr>
          <w:p w14:paraId="5990F982" w14:textId="77777777" w:rsidR="004E6591" w:rsidRDefault="004E6591" w:rsidP="00D2712F">
            <w:pPr>
              <w:rPr>
                <w:rFonts w:eastAsia="Calibri"/>
              </w:rPr>
            </w:pPr>
            <w:r>
              <w:rPr>
                <w:rFonts w:eastAsia="Calibri"/>
              </w:rPr>
              <w:t>0.063</w:t>
            </w:r>
          </w:p>
        </w:tc>
        <w:tc>
          <w:tcPr>
            <w:tcW w:w="1890" w:type="dxa"/>
            <w:tcBorders>
              <w:top w:val="single" w:sz="8" w:space="0" w:color="000000"/>
              <w:left w:val="nil"/>
              <w:bottom w:val="single" w:sz="8" w:space="0" w:color="000000"/>
              <w:right w:val="single" w:sz="8" w:space="0" w:color="000000"/>
            </w:tcBorders>
            <w:hideMark/>
          </w:tcPr>
          <w:p w14:paraId="29C0E664" w14:textId="77777777" w:rsidR="004E6591" w:rsidRDefault="004E6591" w:rsidP="00D2712F">
            <w:pPr>
              <w:rPr>
                <w:rFonts w:eastAsia="Calibri"/>
              </w:rPr>
            </w:pPr>
            <w:r>
              <w:rPr>
                <w:rFonts w:eastAsia="Calibri"/>
              </w:rPr>
              <w:t xml:space="preserve">$646 </w:t>
            </w:r>
          </w:p>
        </w:tc>
        <w:tc>
          <w:tcPr>
            <w:tcW w:w="360" w:type="dxa"/>
            <w:vAlign w:val="center"/>
            <w:hideMark/>
          </w:tcPr>
          <w:p w14:paraId="68534EF6" w14:textId="77777777" w:rsidR="004E6591" w:rsidRDefault="004E6591" w:rsidP="00D2712F">
            <w:pPr>
              <w:rPr>
                <w:rFonts w:eastAsia="Calibri"/>
              </w:rPr>
            </w:pPr>
            <w:r>
              <w:rPr>
                <w:rFonts w:eastAsia="Calibri"/>
              </w:rPr>
              <w:t> </w:t>
            </w:r>
          </w:p>
        </w:tc>
      </w:tr>
      <w:tr w:rsidR="004E6591" w14:paraId="146F3ACB" w14:textId="77777777" w:rsidTr="00865498">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7B7FE293" w14:textId="256C50E0" w:rsidR="004E6591" w:rsidRDefault="004E6591" w:rsidP="00D2712F">
            <w:pPr>
              <w:rPr>
                <w:rFonts w:eastAsia="Calibri"/>
              </w:rPr>
            </w:pPr>
            <w:r>
              <w:rPr>
                <w:rFonts w:eastAsia="Calibri"/>
              </w:rPr>
              <w:t>“Special Education Level 2 ESY</w:t>
            </w:r>
          </w:p>
        </w:tc>
        <w:tc>
          <w:tcPr>
            <w:tcW w:w="2790" w:type="dxa"/>
            <w:tcBorders>
              <w:top w:val="single" w:sz="8" w:space="0" w:color="000000"/>
              <w:left w:val="nil"/>
              <w:bottom w:val="single" w:sz="8" w:space="0" w:color="000000"/>
              <w:right w:val="single" w:sz="8" w:space="0" w:color="000000"/>
            </w:tcBorders>
            <w:hideMark/>
          </w:tcPr>
          <w:p w14:paraId="74241F0E" w14:textId="77777777" w:rsidR="004E6591" w:rsidRDefault="004E6591" w:rsidP="00D2712F">
            <w:pPr>
              <w:rPr>
                <w:rFonts w:eastAsia="Calibri"/>
              </w:rPr>
            </w:pPr>
            <w:r>
              <w:rPr>
                <w:rFonts w:eastAsia="Calibri"/>
              </w:rPr>
              <w:t>Additional funding to support the summer school or program need for students who require extended school year (ESY) services in their IEPs</w:t>
            </w:r>
          </w:p>
        </w:tc>
        <w:tc>
          <w:tcPr>
            <w:tcW w:w="1800" w:type="dxa"/>
            <w:tcBorders>
              <w:top w:val="single" w:sz="8" w:space="0" w:color="000000"/>
              <w:left w:val="nil"/>
              <w:bottom w:val="single" w:sz="8" w:space="0" w:color="000000"/>
              <w:right w:val="single" w:sz="8" w:space="0" w:color="000000"/>
            </w:tcBorders>
            <w:hideMark/>
          </w:tcPr>
          <w:p w14:paraId="28C84D74" w14:textId="77777777" w:rsidR="004E6591" w:rsidRDefault="004E6591" w:rsidP="00D2712F">
            <w:pPr>
              <w:rPr>
                <w:rFonts w:eastAsia="Calibri"/>
              </w:rPr>
            </w:pPr>
            <w:r>
              <w:rPr>
                <w:rFonts w:eastAsia="Calibri"/>
              </w:rPr>
              <w:t>0.227</w:t>
            </w:r>
          </w:p>
        </w:tc>
        <w:tc>
          <w:tcPr>
            <w:tcW w:w="1890" w:type="dxa"/>
            <w:tcBorders>
              <w:top w:val="single" w:sz="8" w:space="0" w:color="000000"/>
              <w:left w:val="nil"/>
              <w:bottom w:val="single" w:sz="8" w:space="0" w:color="000000"/>
              <w:right w:val="single" w:sz="8" w:space="0" w:color="000000"/>
            </w:tcBorders>
            <w:hideMark/>
          </w:tcPr>
          <w:p w14:paraId="27502E3D" w14:textId="77777777" w:rsidR="004E6591" w:rsidRDefault="004E6591" w:rsidP="00D2712F">
            <w:pPr>
              <w:rPr>
                <w:rFonts w:eastAsia="Calibri"/>
              </w:rPr>
            </w:pPr>
            <w:r>
              <w:rPr>
                <w:rFonts w:eastAsia="Calibri"/>
              </w:rPr>
              <w:t xml:space="preserve">$2,328 </w:t>
            </w:r>
          </w:p>
        </w:tc>
        <w:tc>
          <w:tcPr>
            <w:tcW w:w="360" w:type="dxa"/>
            <w:vAlign w:val="center"/>
            <w:hideMark/>
          </w:tcPr>
          <w:p w14:paraId="4A0A9E7F" w14:textId="77777777" w:rsidR="004E6591" w:rsidRDefault="004E6591" w:rsidP="00D2712F">
            <w:pPr>
              <w:rPr>
                <w:rFonts w:eastAsia="Calibri"/>
              </w:rPr>
            </w:pPr>
            <w:r>
              <w:rPr>
                <w:rFonts w:eastAsia="Calibri"/>
              </w:rPr>
              <w:t> </w:t>
            </w:r>
          </w:p>
        </w:tc>
      </w:tr>
      <w:tr w:rsidR="004E6591" w14:paraId="13CCF46C" w14:textId="77777777" w:rsidTr="00865498">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0A2F2A42" w14:textId="194439B6" w:rsidR="004E6591" w:rsidRDefault="004E6591" w:rsidP="00D2712F">
            <w:pPr>
              <w:rPr>
                <w:rFonts w:eastAsia="Calibri"/>
              </w:rPr>
            </w:pPr>
            <w:r>
              <w:rPr>
                <w:rFonts w:eastAsia="Calibri"/>
              </w:rPr>
              <w:t>“Special Education Level 3 ESY</w:t>
            </w:r>
          </w:p>
        </w:tc>
        <w:tc>
          <w:tcPr>
            <w:tcW w:w="2790" w:type="dxa"/>
            <w:tcBorders>
              <w:top w:val="single" w:sz="8" w:space="0" w:color="000000"/>
              <w:left w:val="nil"/>
              <w:bottom w:val="single" w:sz="8" w:space="0" w:color="000000"/>
              <w:right w:val="single" w:sz="8" w:space="0" w:color="000000"/>
            </w:tcBorders>
            <w:hideMark/>
          </w:tcPr>
          <w:p w14:paraId="4E74D568" w14:textId="77777777" w:rsidR="004E6591" w:rsidRDefault="004E6591" w:rsidP="00D2712F">
            <w:pPr>
              <w:rPr>
                <w:rFonts w:eastAsia="Calibri"/>
              </w:rPr>
            </w:pPr>
            <w:r>
              <w:rPr>
                <w:rFonts w:eastAsia="Calibri"/>
              </w:rPr>
              <w:t>Additional funding to support the summer school or program need for students who require extended school year (ESY) services in their IEPs</w:t>
            </w:r>
          </w:p>
        </w:tc>
        <w:tc>
          <w:tcPr>
            <w:tcW w:w="1800" w:type="dxa"/>
            <w:tcBorders>
              <w:top w:val="single" w:sz="8" w:space="0" w:color="000000"/>
              <w:left w:val="nil"/>
              <w:bottom w:val="single" w:sz="8" w:space="0" w:color="000000"/>
              <w:right w:val="single" w:sz="8" w:space="0" w:color="000000"/>
            </w:tcBorders>
            <w:hideMark/>
          </w:tcPr>
          <w:p w14:paraId="732BCFCB" w14:textId="77777777" w:rsidR="004E6591" w:rsidRDefault="004E6591" w:rsidP="00D2712F">
            <w:pPr>
              <w:rPr>
                <w:rFonts w:eastAsia="Calibri"/>
              </w:rPr>
            </w:pPr>
            <w:r>
              <w:rPr>
                <w:rFonts w:eastAsia="Calibri"/>
              </w:rPr>
              <w:t>0.491</w:t>
            </w:r>
          </w:p>
        </w:tc>
        <w:tc>
          <w:tcPr>
            <w:tcW w:w="1890" w:type="dxa"/>
            <w:tcBorders>
              <w:top w:val="single" w:sz="8" w:space="0" w:color="000000"/>
              <w:left w:val="nil"/>
              <w:bottom w:val="single" w:sz="8" w:space="0" w:color="000000"/>
              <w:right w:val="single" w:sz="8" w:space="0" w:color="000000"/>
            </w:tcBorders>
            <w:hideMark/>
          </w:tcPr>
          <w:p w14:paraId="72CF96DA" w14:textId="77777777" w:rsidR="004E6591" w:rsidRDefault="004E6591" w:rsidP="00D2712F">
            <w:pPr>
              <w:rPr>
                <w:rFonts w:eastAsia="Calibri"/>
              </w:rPr>
            </w:pPr>
            <w:r>
              <w:rPr>
                <w:rFonts w:eastAsia="Calibri"/>
              </w:rPr>
              <w:t xml:space="preserve">$5,036 </w:t>
            </w:r>
          </w:p>
        </w:tc>
        <w:tc>
          <w:tcPr>
            <w:tcW w:w="360" w:type="dxa"/>
            <w:vAlign w:val="center"/>
            <w:hideMark/>
          </w:tcPr>
          <w:p w14:paraId="20DB2FFE" w14:textId="77777777" w:rsidR="004E6591" w:rsidRDefault="004E6591" w:rsidP="00D2712F">
            <w:pPr>
              <w:rPr>
                <w:rFonts w:eastAsia="Calibri"/>
              </w:rPr>
            </w:pPr>
            <w:r>
              <w:rPr>
                <w:rFonts w:eastAsia="Calibri"/>
              </w:rPr>
              <w:t> </w:t>
            </w:r>
          </w:p>
        </w:tc>
      </w:tr>
      <w:tr w:rsidR="004E6591" w14:paraId="7F293E28" w14:textId="77777777" w:rsidTr="00865498">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38C9A236" w14:textId="690DE96E" w:rsidR="004E6591" w:rsidRDefault="004E6591" w:rsidP="00D2712F">
            <w:pPr>
              <w:rPr>
                <w:rFonts w:eastAsia="Calibri"/>
              </w:rPr>
            </w:pPr>
            <w:r>
              <w:rPr>
                <w:rFonts w:eastAsia="Calibri"/>
              </w:rPr>
              <w:t>“Special Education Level 4 ESY</w:t>
            </w:r>
          </w:p>
        </w:tc>
        <w:tc>
          <w:tcPr>
            <w:tcW w:w="2790" w:type="dxa"/>
            <w:tcBorders>
              <w:top w:val="single" w:sz="8" w:space="0" w:color="000000"/>
              <w:left w:val="nil"/>
              <w:bottom w:val="single" w:sz="8" w:space="0" w:color="000000"/>
              <w:right w:val="single" w:sz="8" w:space="0" w:color="000000"/>
            </w:tcBorders>
            <w:hideMark/>
          </w:tcPr>
          <w:p w14:paraId="2A60B654" w14:textId="77777777" w:rsidR="004E6591" w:rsidRDefault="004E6591" w:rsidP="00D2712F">
            <w:pPr>
              <w:rPr>
                <w:rFonts w:eastAsia="Calibri"/>
              </w:rPr>
            </w:pPr>
            <w:r>
              <w:rPr>
                <w:rFonts w:eastAsia="Calibri"/>
              </w:rPr>
              <w:t>Additional funding to support the summer school or program need for students who require extended school year (ESY) services in their IEPs</w:t>
            </w:r>
          </w:p>
        </w:tc>
        <w:tc>
          <w:tcPr>
            <w:tcW w:w="1800" w:type="dxa"/>
            <w:tcBorders>
              <w:top w:val="single" w:sz="8" w:space="0" w:color="000000"/>
              <w:left w:val="nil"/>
              <w:bottom w:val="single" w:sz="8" w:space="0" w:color="000000"/>
              <w:right w:val="single" w:sz="8" w:space="0" w:color="000000"/>
            </w:tcBorders>
            <w:hideMark/>
          </w:tcPr>
          <w:p w14:paraId="5B3F7DA5" w14:textId="77777777" w:rsidR="004E6591" w:rsidRDefault="004E6591" w:rsidP="00D2712F">
            <w:pPr>
              <w:rPr>
                <w:rFonts w:eastAsia="Calibri"/>
              </w:rPr>
            </w:pPr>
            <w:r>
              <w:rPr>
                <w:rFonts w:eastAsia="Calibri"/>
              </w:rPr>
              <w:t>0.491</w:t>
            </w:r>
          </w:p>
        </w:tc>
        <w:tc>
          <w:tcPr>
            <w:tcW w:w="1890" w:type="dxa"/>
            <w:tcBorders>
              <w:top w:val="single" w:sz="8" w:space="0" w:color="000000"/>
              <w:left w:val="nil"/>
              <w:bottom w:val="single" w:sz="8" w:space="0" w:color="000000"/>
              <w:right w:val="single" w:sz="8" w:space="0" w:color="000000"/>
            </w:tcBorders>
            <w:hideMark/>
          </w:tcPr>
          <w:p w14:paraId="2DC40792" w14:textId="77777777" w:rsidR="004E6591" w:rsidRDefault="004E6591" w:rsidP="00D2712F">
            <w:pPr>
              <w:rPr>
                <w:rFonts w:eastAsia="Calibri"/>
              </w:rPr>
            </w:pPr>
            <w:r>
              <w:rPr>
                <w:rFonts w:eastAsia="Calibri"/>
              </w:rPr>
              <w:t xml:space="preserve">$5,036 </w:t>
            </w:r>
          </w:p>
        </w:tc>
        <w:tc>
          <w:tcPr>
            <w:tcW w:w="360" w:type="dxa"/>
            <w:vAlign w:val="center"/>
          </w:tcPr>
          <w:p w14:paraId="546343B4" w14:textId="77777777" w:rsidR="004E6591" w:rsidRDefault="004E6591" w:rsidP="00D2712F">
            <w:pPr>
              <w:rPr>
                <w:rFonts w:eastAsia="Calibri"/>
              </w:rPr>
            </w:pPr>
          </w:p>
        </w:tc>
      </w:tr>
    </w:tbl>
    <w:p w14:paraId="6C4288B4" w14:textId="6B935446" w:rsidR="004E6591" w:rsidRDefault="004E6591" w:rsidP="00D2712F">
      <w:pPr>
        <w:rPr>
          <w:rFonts w:eastAsia="Calibri"/>
        </w:rPr>
      </w:pPr>
      <w:r>
        <w:rPr>
          <w:rFonts w:eastAsia="Calibri"/>
        </w:rPr>
        <w:tab/>
        <w:t>.”.</w:t>
      </w:r>
    </w:p>
    <w:p w14:paraId="08BDD83C" w14:textId="77777777" w:rsidR="005875E0" w:rsidRDefault="005875E0" w:rsidP="00D2712F">
      <w:pPr>
        <w:rPr>
          <w:rFonts w:eastAsia="Calibri"/>
        </w:rPr>
      </w:pPr>
    </w:p>
    <w:p w14:paraId="5F0DF3BB" w14:textId="24F8C18E" w:rsidR="004315F4" w:rsidRDefault="004E6591" w:rsidP="00006F0B">
      <w:pPr>
        <w:spacing w:line="480" w:lineRule="auto"/>
        <w:contextualSpacing/>
      </w:pPr>
      <w:r>
        <w:lastRenderedPageBreak/>
        <w:tab/>
      </w:r>
      <w:r w:rsidR="004315F4">
        <w:t>Sec. 202. Chapter 3 of Title 47 of the District of Columbia Official Code is amended as follows:</w:t>
      </w:r>
    </w:p>
    <w:p w14:paraId="354C42B9" w14:textId="77777777" w:rsidR="004315F4" w:rsidRDefault="004315F4" w:rsidP="00006F0B">
      <w:pPr>
        <w:spacing w:line="480" w:lineRule="auto"/>
      </w:pPr>
      <w:r>
        <w:tab/>
        <w:t>(a) The table of contents is amended by adding a new section designation to read as follows:</w:t>
      </w:r>
    </w:p>
    <w:p w14:paraId="49A87B5D" w14:textId="77777777" w:rsidR="004315F4" w:rsidRDefault="004315F4" w:rsidP="00006F0B">
      <w:pPr>
        <w:spacing w:line="480" w:lineRule="auto"/>
        <w:ind w:firstLine="720"/>
      </w:pPr>
      <w:r>
        <w:t>“47-368.07. Workforce Investments account.”.</w:t>
      </w:r>
    </w:p>
    <w:p w14:paraId="5F91758D" w14:textId="77777777" w:rsidR="004315F4" w:rsidRDefault="004315F4" w:rsidP="00006F0B">
      <w:pPr>
        <w:spacing w:line="480" w:lineRule="auto"/>
        <w:ind w:firstLine="720"/>
      </w:pPr>
      <w:r>
        <w:t>(b) A new section 47-368.07 is added to read as follows:</w:t>
      </w:r>
    </w:p>
    <w:p w14:paraId="6A578919" w14:textId="77777777" w:rsidR="004315F4" w:rsidRDefault="004315F4" w:rsidP="00006F0B">
      <w:pPr>
        <w:spacing w:line="480" w:lineRule="auto"/>
      </w:pPr>
      <w:r>
        <w:tab/>
        <w:t>“§ 47-368.07. Workforce Investments account.</w:t>
      </w:r>
    </w:p>
    <w:p w14:paraId="3B336CFB" w14:textId="77777777" w:rsidR="004315F4" w:rsidRDefault="004315F4" w:rsidP="00006F0B">
      <w:pPr>
        <w:spacing w:line="480" w:lineRule="auto"/>
      </w:pPr>
      <w:r>
        <w:tab/>
        <w:t xml:space="preserve">“(a) The Workforce Investments account (“Account”) shall be administered by the Mayor in accordance with subsections (b) and (c) of this section. </w:t>
      </w:r>
    </w:p>
    <w:p w14:paraId="3EE8BE69" w14:textId="77777777" w:rsidR="004315F4" w:rsidRDefault="004315F4" w:rsidP="00006F0B">
      <w:pPr>
        <w:spacing w:line="480" w:lineRule="auto"/>
        <w:ind w:firstLine="720"/>
      </w:pPr>
      <w:r>
        <w:t>“(b) Money in the Account shall be used for the following purposes only:</w:t>
      </w:r>
    </w:p>
    <w:p w14:paraId="01DDAB33" w14:textId="77777777" w:rsidR="004315F4" w:rsidRDefault="004315F4" w:rsidP="00006F0B">
      <w:pPr>
        <w:spacing w:line="480" w:lineRule="auto"/>
        <w:ind w:firstLine="720"/>
      </w:pPr>
      <w:r>
        <w:tab/>
        <w:t xml:space="preserve">“(1) Costs related to financial, developmental, and other investments in the District government workforce, including salary increases or other items required by the terms of collective bargaining agreements and cost-of-living adjustments to salaries and hourly wages; </w:t>
      </w:r>
    </w:p>
    <w:p w14:paraId="2FFD69F8" w14:textId="1D0C21EE" w:rsidR="004315F4" w:rsidRDefault="004315F4" w:rsidP="00006F0B">
      <w:pPr>
        <w:spacing w:line="480" w:lineRule="auto"/>
        <w:ind w:firstLine="1440"/>
      </w:pPr>
      <w:r>
        <w:t>“(2) Payments to public charter schools authorized by section 20</w:t>
      </w:r>
      <w:r w:rsidR="00BE70C5">
        <w:t>4</w:t>
      </w:r>
      <w:r>
        <w:t xml:space="preserve"> of the Fiscal Year 2018 Budget Support Clarification </w:t>
      </w:r>
      <w:r w:rsidR="00BE70C5">
        <w:t>Temporary</w:t>
      </w:r>
      <w:r>
        <w:t xml:space="preserve"> Amendment Act of 2017, </w:t>
      </w:r>
      <w:r w:rsidRPr="00896E74">
        <w:t xml:space="preserve">passed on </w:t>
      </w:r>
      <w:r w:rsidR="005A70D7">
        <w:t>2nd reading</w:t>
      </w:r>
      <w:r w:rsidRPr="00896E74">
        <w:t xml:space="preserve"> on </w:t>
      </w:r>
      <w:r w:rsidR="005A70D7">
        <w:t>November 7</w:t>
      </w:r>
      <w:r w:rsidRPr="00896E74">
        <w:t>, 20</w:t>
      </w:r>
      <w:r>
        <w:t>17</w:t>
      </w:r>
      <w:r w:rsidRPr="00896E74">
        <w:t xml:space="preserve"> (Enrolled version of Bill </w:t>
      </w:r>
      <w:r>
        <w:t>22</w:t>
      </w:r>
      <w:r w:rsidRPr="00896E74">
        <w:t>-</w:t>
      </w:r>
      <w:r w:rsidR="0038310B">
        <w:t>49</w:t>
      </w:r>
      <w:r w:rsidR="005A70D7">
        <w:t>2</w:t>
      </w:r>
      <w:r>
        <w:t xml:space="preserve">); and </w:t>
      </w:r>
    </w:p>
    <w:p w14:paraId="27D7098B" w14:textId="77777777" w:rsidR="004315F4" w:rsidRPr="0051245A" w:rsidRDefault="004315F4" w:rsidP="00006F0B">
      <w:pPr>
        <w:spacing w:line="480" w:lineRule="auto"/>
        <w:ind w:firstLine="1440"/>
        <w:rPr>
          <w:highlight w:val="yellow"/>
        </w:rPr>
      </w:pPr>
      <w:r w:rsidRPr="00BC7611">
        <w:t xml:space="preserve">“(3) For such other purposes for which funds </w:t>
      </w:r>
      <w:r>
        <w:t xml:space="preserve">previously </w:t>
      </w:r>
      <w:r w:rsidRPr="00BC7611">
        <w:t>may have been deposited into the account.</w:t>
      </w:r>
      <w:r w:rsidRPr="0051245A">
        <w:rPr>
          <w:highlight w:val="yellow"/>
        </w:rPr>
        <w:t xml:space="preserve"> </w:t>
      </w:r>
    </w:p>
    <w:p w14:paraId="7F95D7AF" w14:textId="77777777" w:rsidR="004315F4" w:rsidRDefault="004315F4" w:rsidP="00006F0B">
      <w:pPr>
        <w:spacing w:line="480" w:lineRule="auto"/>
        <w:ind w:firstLine="720"/>
      </w:pPr>
      <w:r>
        <w:t>“(c)(1) The money deposited into the Account shall not revert to the unrestricted fund balance of the General Fund of the District of Columbia at the end of a fiscal year, or at any other time.</w:t>
      </w:r>
    </w:p>
    <w:p w14:paraId="32804BA3" w14:textId="77777777" w:rsidR="004315F4" w:rsidRDefault="004315F4" w:rsidP="00006F0B">
      <w:pPr>
        <w:spacing w:line="480" w:lineRule="auto"/>
      </w:pPr>
      <w:r>
        <w:lastRenderedPageBreak/>
        <w:tab/>
      </w:r>
      <w:r>
        <w:tab/>
        <w:t xml:space="preserve">“(2) Subject to authorization in an approved budget and financial plan, any funds </w:t>
      </w:r>
      <w:r w:rsidRPr="00BC7611">
        <w:t xml:space="preserve">appropriated in the Account </w:t>
      </w:r>
      <w:r>
        <w:t xml:space="preserve">shall be continually available without regard to fiscal year limitation.”. </w:t>
      </w:r>
    </w:p>
    <w:p w14:paraId="39C1D109" w14:textId="77777777" w:rsidR="00D2712F" w:rsidRDefault="00D2712F" w:rsidP="00006F0B">
      <w:pPr>
        <w:spacing w:line="480" w:lineRule="auto"/>
      </w:pPr>
    </w:p>
    <w:p w14:paraId="5DE45272" w14:textId="757E6E91" w:rsidR="00623746" w:rsidRDefault="00623746" w:rsidP="00006F0B">
      <w:pPr>
        <w:spacing w:line="480" w:lineRule="auto"/>
        <w:ind w:firstLine="720"/>
        <w:rPr>
          <w:highlight w:val="yellow"/>
        </w:rPr>
      </w:pPr>
      <w:r w:rsidRPr="00623746">
        <w:t>Sec. 20</w:t>
      </w:r>
      <w:r w:rsidR="004315F4">
        <w:t>3</w:t>
      </w:r>
      <w:r w:rsidRPr="00623746">
        <w:t xml:space="preserve">. </w:t>
      </w:r>
      <w:r w:rsidRPr="007474A3">
        <w:rPr>
          <w:spacing w:val="-3"/>
          <w:szCs w:val="24"/>
        </w:rPr>
        <w:t>The Fiscal Year 201</w:t>
      </w:r>
      <w:r>
        <w:rPr>
          <w:spacing w:val="-3"/>
          <w:szCs w:val="24"/>
        </w:rPr>
        <w:t>8</w:t>
      </w:r>
      <w:r w:rsidRPr="007474A3">
        <w:rPr>
          <w:spacing w:val="-3"/>
          <w:szCs w:val="24"/>
        </w:rPr>
        <w:t xml:space="preserve"> Budget Support Act of 201</w:t>
      </w:r>
      <w:r>
        <w:rPr>
          <w:spacing w:val="-3"/>
          <w:szCs w:val="24"/>
        </w:rPr>
        <w:t>7</w:t>
      </w:r>
      <w:r w:rsidRPr="007474A3">
        <w:rPr>
          <w:spacing w:val="-3"/>
          <w:szCs w:val="24"/>
        </w:rPr>
        <w:t xml:space="preserve">, </w:t>
      </w:r>
      <w:r>
        <w:rPr>
          <w:spacing w:val="-3"/>
          <w:szCs w:val="24"/>
        </w:rPr>
        <w:t>enacted</w:t>
      </w:r>
      <w:r w:rsidRPr="007474A3">
        <w:rPr>
          <w:spacing w:val="-3"/>
          <w:szCs w:val="24"/>
        </w:rPr>
        <w:t xml:space="preserve"> on </w:t>
      </w:r>
      <w:r>
        <w:rPr>
          <w:spacing w:val="-3"/>
          <w:szCs w:val="24"/>
        </w:rPr>
        <w:t>July 31, 2017</w:t>
      </w:r>
      <w:r w:rsidRPr="007474A3">
        <w:rPr>
          <w:spacing w:val="-3"/>
          <w:szCs w:val="24"/>
        </w:rPr>
        <w:t xml:space="preserve"> (D.C. Act </w:t>
      </w:r>
      <w:r>
        <w:rPr>
          <w:spacing w:val="-3"/>
          <w:szCs w:val="24"/>
        </w:rPr>
        <w:t>22-130</w:t>
      </w:r>
      <w:r w:rsidRPr="007474A3">
        <w:rPr>
          <w:spacing w:val="-3"/>
          <w:szCs w:val="24"/>
        </w:rPr>
        <w:t xml:space="preserve">; </w:t>
      </w:r>
      <w:r>
        <w:rPr>
          <w:spacing w:val="-3"/>
          <w:szCs w:val="24"/>
        </w:rPr>
        <w:t>64</w:t>
      </w:r>
      <w:r w:rsidRPr="007474A3">
        <w:rPr>
          <w:spacing w:val="-3"/>
          <w:szCs w:val="24"/>
        </w:rPr>
        <w:t xml:space="preserve"> DCR </w:t>
      </w:r>
      <w:r>
        <w:rPr>
          <w:spacing w:val="-3"/>
          <w:szCs w:val="24"/>
        </w:rPr>
        <w:t>7652</w:t>
      </w:r>
      <w:r w:rsidRPr="007474A3">
        <w:rPr>
          <w:spacing w:val="-3"/>
          <w:szCs w:val="24"/>
        </w:rPr>
        <w:t>), is amended as follows</w:t>
      </w:r>
      <w:r>
        <w:rPr>
          <w:spacing w:val="-3"/>
          <w:szCs w:val="24"/>
        </w:rPr>
        <w:t>:</w:t>
      </w:r>
      <w:r>
        <w:rPr>
          <w:highlight w:val="yellow"/>
        </w:rPr>
        <w:t xml:space="preserve"> </w:t>
      </w:r>
    </w:p>
    <w:p w14:paraId="4F834B1D" w14:textId="4680F5CB" w:rsidR="004E6591" w:rsidRPr="00623746" w:rsidRDefault="00623746" w:rsidP="00006F0B">
      <w:pPr>
        <w:spacing w:line="480" w:lineRule="auto"/>
        <w:ind w:firstLine="720"/>
      </w:pPr>
      <w:r w:rsidRPr="00623746">
        <w:t xml:space="preserve">(a) </w:t>
      </w:r>
      <w:r w:rsidR="004E6591" w:rsidRPr="00623746">
        <w:t xml:space="preserve">Section 4003(b) is amended to read as follows: </w:t>
      </w:r>
    </w:p>
    <w:p w14:paraId="7AE57CC3" w14:textId="77777777" w:rsidR="004E6591" w:rsidRDefault="004E6591" w:rsidP="00006F0B">
      <w:pPr>
        <w:spacing w:line="480" w:lineRule="auto"/>
        <w:ind w:firstLine="720"/>
      </w:pPr>
      <w:r w:rsidRPr="00623746">
        <w:t>“(b) For District of Columbia Public Schools, no more than $30,200,000 of the Fiscal Year 2018 increase to the Uniform Per Student Funding Formula foundation level over the Fiscal Year 2017 foundation level, effectuated by section 4002, shall be used in Fiscal Year 2018 to satisfy compensation terms required by a collective bargaining agreement that becomes effective in Fiscal Year 2018.”.</w:t>
      </w:r>
    </w:p>
    <w:p w14:paraId="4FA45DF6" w14:textId="2BFD53C8" w:rsidR="006D6DC9" w:rsidRDefault="00623746" w:rsidP="00006F0B">
      <w:pPr>
        <w:spacing w:line="480" w:lineRule="auto"/>
        <w:ind w:firstLine="720"/>
      </w:pPr>
      <w:r>
        <w:t>(b) Section 7102 is amended as follows:</w:t>
      </w:r>
    </w:p>
    <w:p w14:paraId="0A623D2B" w14:textId="77777777" w:rsidR="00623746" w:rsidRDefault="00623746" w:rsidP="00006F0B">
      <w:pPr>
        <w:spacing w:line="480" w:lineRule="auto"/>
        <w:ind w:left="720" w:firstLine="720"/>
      </w:pPr>
      <w:r>
        <w:t>(1) Subsection (a) is amended as follows:</w:t>
      </w:r>
    </w:p>
    <w:p w14:paraId="75D14687" w14:textId="0E6498FB" w:rsidR="00623746" w:rsidRDefault="00623746" w:rsidP="00006F0B">
      <w:pPr>
        <w:spacing w:line="480" w:lineRule="auto"/>
        <w:ind w:firstLine="720"/>
      </w:pPr>
      <w:r>
        <w:tab/>
      </w:r>
      <w:r>
        <w:tab/>
        <w:t>(A) The lead</w:t>
      </w:r>
      <w:r w:rsidR="00002D10">
        <w:t>-</w:t>
      </w:r>
      <w:r>
        <w:t>in language is amended as follows:</w:t>
      </w:r>
    </w:p>
    <w:p w14:paraId="788B93D0" w14:textId="01AF8751" w:rsidR="00623746" w:rsidRDefault="00623746" w:rsidP="00006F0B">
      <w:pPr>
        <w:spacing w:line="480" w:lineRule="auto"/>
        <w:ind w:firstLine="2880"/>
      </w:pPr>
      <w:r>
        <w:t>(</w:t>
      </w:r>
      <w:proofErr w:type="spellStart"/>
      <w:r>
        <w:t>i</w:t>
      </w:r>
      <w:proofErr w:type="spellEnd"/>
      <w:r>
        <w:t xml:space="preserve">) </w:t>
      </w:r>
      <w:r w:rsidR="00002D10">
        <w:t>Strike</w:t>
      </w:r>
      <w:r>
        <w:t xml:space="preserve"> the phrase “if local revenues” and insert the phrase “the portion of local revenues” in its place</w:t>
      </w:r>
      <w:r w:rsidR="005A70D7">
        <w:t>.</w:t>
      </w:r>
      <w:r>
        <w:t xml:space="preserve"> </w:t>
      </w:r>
    </w:p>
    <w:p w14:paraId="1DB28CA0" w14:textId="127E6CE5" w:rsidR="00623746" w:rsidRDefault="00623746" w:rsidP="00006F0B">
      <w:pPr>
        <w:spacing w:line="480" w:lineRule="auto"/>
        <w:ind w:firstLine="720"/>
      </w:pPr>
      <w:r>
        <w:tab/>
      </w:r>
      <w:r>
        <w:tab/>
      </w:r>
      <w:r>
        <w:tab/>
        <w:t xml:space="preserve">(ii) </w:t>
      </w:r>
      <w:r w:rsidR="00002D10">
        <w:t>S</w:t>
      </w:r>
      <w:r>
        <w:t>trik</w:t>
      </w:r>
      <w:r w:rsidR="00002D10">
        <w:t>e</w:t>
      </w:r>
      <w:r>
        <w:t xml:space="preserve"> the phrase “estimate exceed the” and insert the phrase “estimate that exceed</w:t>
      </w:r>
      <w:r w:rsidR="00853FF2">
        <w:t>s</w:t>
      </w:r>
      <w:r w:rsidR="00002D10">
        <w:t xml:space="preserve"> the</w:t>
      </w:r>
      <w:r>
        <w:t>” in its place</w:t>
      </w:r>
      <w:r w:rsidR="005A70D7">
        <w:t>.</w:t>
      </w:r>
    </w:p>
    <w:p w14:paraId="65C9858D" w14:textId="49688799" w:rsidR="00623746" w:rsidRDefault="00623746" w:rsidP="00006F0B">
      <w:pPr>
        <w:spacing w:line="480" w:lineRule="auto"/>
        <w:ind w:firstLine="2880"/>
      </w:pPr>
      <w:r>
        <w:t xml:space="preserve">(iii) </w:t>
      </w:r>
      <w:r w:rsidR="00002D10">
        <w:t>S</w:t>
      </w:r>
      <w:r>
        <w:t>trik</w:t>
      </w:r>
      <w:r w:rsidR="00002D10">
        <w:t>e</w:t>
      </w:r>
      <w:r>
        <w:t xml:space="preserve"> the phrase “for Fiscal Year 2018, these additional revenues” and insert the phrase “for Fiscal Year 2018 (“additional revenues”)” in its place.</w:t>
      </w:r>
    </w:p>
    <w:p w14:paraId="16B153DE" w14:textId="77777777" w:rsidR="006D322D" w:rsidRDefault="00623746" w:rsidP="00006F0B">
      <w:pPr>
        <w:spacing w:line="480" w:lineRule="auto"/>
        <w:ind w:firstLine="720"/>
      </w:pPr>
      <w:r>
        <w:tab/>
      </w:r>
      <w:r>
        <w:tab/>
        <w:t xml:space="preserve">(B) Paragraph (1) is amended </w:t>
      </w:r>
      <w:r w:rsidR="006D322D">
        <w:t>as follows:</w:t>
      </w:r>
    </w:p>
    <w:p w14:paraId="7F157199" w14:textId="18E59DE6" w:rsidR="00623746" w:rsidRDefault="006D322D" w:rsidP="00006F0B">
      <w:pPr>
        <w:spacing w:line="480" w:lineRule="auto"/>
        <w:ind w:firstLine="2880"/>
        <w:rPr>
          <w:color w:val="000000" w:themeColor="text1"/>
          <w:szCs w:val="24"/>
        </w:rPr>
      </w:pPr>
      <w:r>
        <w:lastRenderedPageBreak/>
        <w:t>(</w:t>
      </w:r>
      <w:proofErr w:type="spellStart"/>
      <w:r>
        <w:t>i</w:t>
      </w:r>
      <w:proofErr w:type="spellEnd"/>
      <w:r>
        <w:t>) Strike</w:t>
      </w:r>
      <w:r w:rsidR="00623746">
        <w:t xml:space="preserve"> the phrase “50% to the Workforce Investment</w:t>
      </w:r>
      <w:r w:rsidR="00002D10">
        <w:t>s</w:t>
      </w:r>
      <w:r w:rsidR="00623746">
        <w:t xml:space="preserve"> account</w:t>
      </w:r>
      <w:r w:rsidR="00002D10">
        <w:t>,”</w:t>
      </w:r>
      <w:r w:rsidR="00623746">
        <w:t xml:space="preserve"> and insert the phrase “</w:t>
      </w:r>
      <w:r w:rsidR="00623746">
        <w:rPr>
          <w:color w:val="000000" w:themeColor="text1"/>
          <w:szCs w:val="24"/>
        </w:rPr>
        <w:t>Pursuant to subsection (</w:t>
      </w:r>
      <w:r>
        <w:rPr>
          <w:color w:val="000000" w:themeColor="text1"/>
          <w:szCs w:val="24"/>
        </w:rPr>
        <w:t>b</w:t>
      </w:r>
      <w:r w:rsidR="00623746">
        <w:rPr>
          <w:color w:val="000000" w:themeColor="text1"/>
          <w:szCs w:val="24"/>
        </w:rPr>
        <w:t xml:space="preserve">)(1) under the heading “Revised Revenue </w:t>
      </w:r>
      <w:r w:rsidR="00853FF2">
        <w:rPr>
          <w:color w:val="000000" w:themeColor="text1"/>
          <w:szCs w:val="24"/>
        </w:rPr>
        <w:t xml:space="preserve">Estimate </w:t>
      </w:r>
      <w:r w:rsidR="00623746">
        <w:rPr>
          <w:color w:val="000000" w:themeColor="text1"/>
          <w:szCs w:val="24"/>
        </w:rPr>
        <w:t xml:space="preserve">Contingency Priority” in the Fiscal Year 2018 Local Budget Act of 2017, effective August 29, 2017 (D.C. Law 22-16; 64 DCR 6581), </w:t>
      </w:r>
      <w:r w:rsidR="00623746" w:rsidRPr="00EB2814">
        <w:rPr>
          <w:color w:val="000000" w:themeColor="text1"/>
          <w:szCs w:val="24"/>
        </w:rPr>
        <w:t xml:space="preserve">50% </w:t>
      </w:r>
      <w:r>
        <w:rPr>
          <w:color w:val="000000" w:themeColor="text1"/>
          <w:szCs w:val="24"/>
        </w:rPr>
        <w:t xml:space="preserve">of the </w:t>
      </w:r>
      <w:r w:rsidR="00623746">
        <w:rPr>
          <w:color w:val="000000" w:themeColor="text1"/>
          <w:szCs w:val="24"/>
        </w:rPr>
        <w:t xml:space="preserve">additional revenues </w:t>
      </w:r>
      <w:r w:rsidR="00623746" w:rsidRPr="00EB2814">
        <w:rPr>
          <w:color w:val="000000" w:themeColor="text1"/>
          <w:szCs w:val="24"/>
        </w:rPr>
        <w:t>to the Workforce Investments account</w:t>
      </w:r>
      <w:r w:rsidR="00623746">
        <w:rPr>
          <w:color w:val="000000" w:themeColor="text1"/>
          <w:szCs w:val="24"/>
        </w:rPr>
        <w:t>” in its place.</w:t>
      </w:r>
    </w:p>
    <w:p w14:paraId="1F6C000E" w14:textId="3F10D157" w:rsidR="006D322D" w:rsidRDefault="006D322D" w:rsidP="00006F0B">
      <w:pPr>
        <w:spacing w:line="480" w:lineRule="auto"/>
        <w:ind w:firstLine="2880"/>
        <w:rPr>
          <w:color w:val="000000" w:themeColor="text1"/>
          <w:szCs w:val="24"/>
        </w:rPr>
      </w:pPr>
      <w:r>
        <w:rPr>
          <w:color w:val="000000" w:themeColor="text1"/>
          <w:szCs w:val="24"/>
        </w:rPr>
        <w:t>(ii) Strike the phrase “</w:t>
      </w:r>
      <w:r w:rsidRPr="00EB2814">
        <w:rPr>
          <w:color w:val="000000" w:themeColor="text1"/>
          <w:szCs w:val="24"/>
        </w:rPr>
        <w:t>which shall be available to fund salary increases or other items required by the terms of collective bargaining agreements that will become effective in Fiscal Year 2018; and</w:t>
      </w:r>
      <w:r>
        <w:rPr>
          <w:color w:val="000000" w:themeColor="text1"/>
          <w:szCs w:val="24"/>
        </w:rPr>
        <w:t>”</w:t>
      </w:r>
      <w:r w:rsidR="00002D10">
        <w:rPr>
          <w:color w:val="000000" w:themeColor="text1"/>
          <w:szCs w:val="24"/>
        </w:rPr>
        <w:t xml:space="preserve"> and insert the phrase “; and” in its place</w:t>
      </w:r>
      <w:r>
        <w:rPr>
          <w:color w:val="000000" w:themeColor="text1"/>
          <w:szCs w:val="24"/>
        </w:rPr>
        <w:t>.</w:t>
      </w:r>
    </w:p>
    <w:p w14:paraId="74B3F2B0" w14:textId="77777777" w:rsidR="00623746" w:rsidRDefault="00623746" w:rsidP="00006F0B">
      <w:pPr>
        <w:spacing w:line="480" w:lineRule="auto"/>
        <w:ind w:firstLine="720"/>
        <w:rPr>
          <w:color w:val="000000" w:themeColor="text1"/>
          <w:szCs w:val="24"/>
        </w:rPr>
      </w:pPr>
      <w:r>
        <w:rPr>
          <w:color w:val="000000" w:themeColor="text1"/>
          <w:szCs w:val="24"/>
        </w:rPr>
        <w:tab/>
      </w:r>
      <w:r>
        <w:rPr>
          <w:color w:val="000000" w:themeColor="text1"/>
          <w:szCs w:val="24"/>
        </w:rPr>
        <w:tab/>
        <w:t>(C) Paragraph (2) is amended to read as follows:</w:t>
      </w:r>
    </w:p>
    <w:p w14:paraId="367250BC" w14:textId="5F2428FB" w:rsidR="00623746" w:rsidRDefault="00623746" w:rsidP="00006F0B">
      <w:pPr>
        <w:spacing w:line="480" w:lineRule="auto"/>
        <w:ind w:left="90" w:firstLine="1350"/>
        <w:contextualSpacing/>
        <w:rPr>
          <w:color w:val="000000" w:themeColor="text1"/>
          <w:szCs w:val="24"/>
        </w:rPr>
      </w:pPr>
      <w:r>
        <w:rPr>
          <w:color w:val="000000" w:themeColor="text1"/>
          <w:szCs w:val="24"/>
        </w:rPr>
        <w:t>“(2) Pursuant to subsection (</w:t>
      </w:r>
      <w:r w:rsidR="006D322D">
        <w:rPr>
          <w:color w:val="000000" w:themeColor="text1"/>
          <w:szCs w:val="24"/>
        </w:rPr>
        <w:t>b</w:t>
      </w:r>
      <w:r>
        <w:rPr>
          <w:color w:val="000000" w:themeColor="text1"/>
          <w:szCs w:val="24"/>
        </w:rPr>
        <w:t xml:space="preserve">)(2) under the heading “Revised Revenue </w:t>
      </w:r>
      <w:r w:rsidR="00853FF2">
        <w:rPr>
          <w:color w:val="000000" w:themeColor="text1"/>
          <w:szCs w:val="24"/>
        </w:rPr>
        <w:t xml:space="preserve">Estimate </w:t>
      </w:r>
      <w:r>
        <w:rPr>
          <w:color w:val="000000" w:themeColor="text1"/>
          <w:szCs w:val="24"/>
        </w:rPr>
        <w:t>Contingency Priority” in the Fiscal Year 2018 Local Budget Act of 2017, effective August 29, 2017 (D.C. Law 22-16; 64 DCR 6581)</w:t>
      </w:r>
      <w:r w:rsidR="00397487">
        <w:rPr>
          <w:color w:val="000000" w:themeColor="text1"/>
          <w:szCs w:val="24"/>
        </w:rPr>
        <w:t>,</w:t>
      </w:r>
      <w:r>
        <w:rPr>
          <w:color w:val="000000" w:themeColor="text1"/>
          <w:szCs w:val="24"/>
        </w:rPr>
        <w:t xml:space="preserve"> 50% of the additional revenues as follows:</w:t>
      </w:r>
    </w:p>
    <w:p w14:paraId="5A900D71" w14:textId="3BE73142" w:rsidR="00623746" w:rsidRDefault="00623746" w:rsidP="00006F0B">
      <w:pPr>
        <w:spacing w:line="480" w:lineRule="auto"/>
        <w:ind w:firstLine="2160"/>
        <w:contextualSpacing/>
        <w:rPr>
          <w:color w:val="000000" w:themeColor="text1"/>
          <w:szCs w:val="24"/>
        </w:rPr>
      </w:pPr>
      <w:r>
        <w:rPr>
          <w:color w:val="000000" w:themeColor="text1"/>
          <w:szCs w:val="24"/>
        </w:rPr>
        <w:t>“(A) $</w:t>
      </w:r>
      <w:r w:rsidR="00106B46">
        <w:rPr>
          <w:color w:val="000000" w:themeColor="text1"/>
          <w:szCs w:val="24"/>
        </w:rPr>
        <w:t>24.175</w:t>
      </w:r>
      <w:r>
        <w:rPr>
          <w:color w:val="000000" w:themeColor="text1"/>
          <w:szCs w:val="24"/>
        </w:rPr>
        <w:t xml:space="preserve"> million in recurring additional revenues </w:t>
      </w:r>
      <w:r w:rsidRPr="00EB2814">
        <w:rPr>
          <w:color w:val="000000" w:themeColor="text1"/>
          <w:szCs w:val="24"/>
        </w:rPr>
        <w:t xml:space="preserve">to the </w:t>
      </w:r>
      <w:r>
        <w:rPr>
          <w:color w:val="000000" w:themeColor="text1"/>
          <w:szCs w:val="24"/>
        </w:rPr>
        <w:t xml:space="preserve">General Fund of the District of the Columbia (“offset”), which shall offset in an equal amount a dedication of general sales tax revenue to the </w:t>
      </w:r>
      <w:r w:rsidRPr="00EB2814">
        <w:rPr>
          <w:color w:val="000000" w:themeColor="text1"/>
          <w:szCs w:val="24"/>
        </w:rPr>
        <w:t xml:space="preserve">capital improvements program (“CIP”) that in turn will be dedicated to the Washington Metropolitan </w:t>
      </w:r>
      <w:r w:rsidR="00EC656B">
        <w:rPr>
          <w:color w:val="000000" w:themeColor="text1"/>
          <w:szCs w:val="24"/>
        </w:rPr>
        <w:t xml:space="preserve">Area </w:t>
      </w:r>
      <w:r w:rsidRPr="00EB2814">
        <w:rPr>
          <w:color w:val="000000" w:themeColor="text1"/>
          <w:szCs w:val="24"/>
        </w:rPr>
        <w:t>Transit Authority (“WMATA”)</w:t>
      </w:r>
      <w:r>
        <w:rPr>
          <w:color w:val="000000" w:themeColor="text1"/>
          <w:szCs w:val="24"/>
        </w:rPr>
        <w:t>, in accordance with subsections (b) and (c) of this section; and</w:t>
      </w:r>
    </w:p>
    <w:p w14:paraId="63609D63" w14:textId="77777777" w:rsidR="00623746" w:rsidRDefault="00623746" w:rsidP="00006F0B">
      <w:pPr>
        <w:spacing w:line="480" w:lineRule="auto"/>
        <w:ind w:firstLine="2160"/>
        <w:contextualSpacing/>
        <w:rPr>
          <w:color w:val="000000" w:themeColor="text1"/>
          <w:szCs w:val="24"/>
        </w:rPr>
      </w:pPr>
      <w:r>
        <w:rPr>
          <w:color w:val="000000" w:themeColor="text1"/>
          <w:szCs w:val="24"/>
        </w:rPr>
        <w:t>“(B) All remaining additional revenues to the Workforce Investments account.”.</w:t>
      </w:r>
    </w:p>
    <w:p w14:paraId="0C82CA0A" w14:textId="77777777" w:rsidR="00623746" w:rsidRDefault="00623746" w:rsidP="00006F0B">
      <w:pPr>
        <w:spacing w:line="480" w:lineRule="auto"/>
        <w:contextualSpacing/>
        <w:rPr>
          <w:color w:val="000000" w:themeColor="text1"/>
          <w:szCs w:val="24"/>
        </w:rPr>
      </w:pPr>
      <w:r>
        <w:rPr>
          <w:color w:val="000000" w:themeColor="text1"/>
          <w:szCs w:val="24"/>
        </w:rPr>
        <w:tab/>
      </w:r>
      <w:r>
        <w:rPr>
          <w:color w:val="000000" w:themeColor="text1"/>
          <w:szCs w:val="24"/>
        </w:rPr>
        <w:tab/>
        <w:t>(2) Subsection (b) is amended to read as follows:</w:t>
      </w:r>
    </w:p>
    <w:p w14:paraId="108DAAC4" w14:textId="77777777" w:rsidR="00623746" w:rsidRDefault="00623746" w:rsidP="00006F0B">
      <w:pPr>
        <w:spacing w:line="480" w:lineRule="auto"/>
        <w:ind w:firstLine="720"/>
        <w:contextualSpacing/>
        <w:rPr>
          <w:color w:val="000000" w:themeColor="text1"/>
          <w:szCs w:val="24"/>
        </w:rPr>
      </w:pPr>
      <w:r>
        <w:rPr>
          <w:color w:val="000000" w:themeColor="text1"/>
          <w:szCs w:val="24"/>
        </w:rPr>
        <w:t xml:space="preserve">“(b) Revenue from general sales tax </w:t>
      </w:r>
      <w:r>
        <w:rPr>
          <w:szCs w:val="24"/>
        </w:rPr>
        <w:t>imposed by section 47-2002</w:t>
      </w:r>
      <w:r w:rsidRPr="00355B09">
        <w:rPr>
          <w:szCs w:val="24"/>
        </w:rPr>
        <w:t xml:space="preserve">(a) </w:t>
      </w:r>
      <w:r>
        <w:rPr>
          <w:szCs w:val="24"/>
        </w:rPr>
        <w:t xml:space="preserve">of the District of Columbia Official Code </w:t>
      </w:r>
      <w:r w:rsidRPr="00355B09">
        <w:rPr>
          <w:szCs w:val="24"/>
        </w:rPr>
        <w:t>at the rate of 5.75% (“general sales tax”)</w:t>
      </w:r>
      <w:r>
        <w:rPr>
          <w:color w:val="000000" w:themeColor="text1"/>
          <w:szCs w:val="24"/>
        </w:rPr>
        <w:t xml:space="preserve"> in an amount equal to the </w:t>
      </w:r>
      <w:r>
        <w:rPr>
          <w:color w:val="000000" w:themeColor="text1"/>
          <w:szCs w:val="24"/>
        </w:rPr>
        <w:lastRenderedPageBreak/>
        <w:t>recurring revenue in the offset shall become a dedicated tax (“dedicated tax”) for use in the CIP.”.</w:t>
      </w:r>
    </w:p>
    <w:p w14:paraId="25DCDF78" w14:textId="19910134" w:rsidR="00623746" w:rsidRDefault="00623746" w:rsidP="00006F0B">
      <w:pPr>
        <w:spacing w:line="480" w:lineRule="auto"/>
        <w:ind w:firstLine="720"/>
        <w:contextualSpacing/>
        <w:rPr>
          <w:color w:val="000000" w:themeColor="text1"/>
          <w:szCs w:val="24"/>
        </w:rPr>
      </w:pPr>
      <w:r>
        <w:rPr>
          <w:color w:val="000000" w:themeColor="text1"/>
          <w:szCs w:val="24"/>
        </w:rPr>
        <w:tab/>
        <w:t xml:space="preserve">(3) Subsection (c) is amended by striking the </w:t>
      </w:r>
      <w:r w:rsidR="00EC656B">
        <w:rPr>
          <w:color w:val="000000" w:themeColor="text1"/>
          <w:szCs w:val="24"/>
        </w:rPr>
        <w:t>phrase</w:t>
      </w:r>
      <w:r>
        <w:rPr>
          <w:color w:val="000000" w:themeColor="text1"/>
          <w:szCs w:val="24"/>
        </w:rPr>
        <w:t xml:space="preserve"> </w:t>
      </w:r>
      <w:r w:rsidR="00EC656B">
        <w:rPr>
          <w:color w:val="000000" w:themeColor="text1"/>
          <w:szCs w:val="24"/>
        </w:rPr>
        <w:t>“</w:t>
      </w:r>
      <w:r>
        <w:rPr>
          <w:color w:val="000000" w:themeColor="text1"/>
          <w:szCs w:val="24"/>
        </w:rPr>
        <w:t>(b)(1)(A)</w:t>
      </w:r>
      <w:r w:rsidR="00EC656B">
        <w:rPr>
          <w:color w:val="000000" w:themeColor="text1"/>
          <w:szCs w:val="24"/>
        </w:rPr>
        <w:t>”</w:t>
      </w:r>
      <w:r>
        <w:rPr>
          <w:color w:val="000000" w:themeColor="text1"/>
          <w:szCs w:val="24"/>
        </w:rPr>
        <w:t xml:space="preserve"> both times it appears and inserting the </w:t>
      </w:r>
      <w:r w:rsidR="00EC656B">
        <w:rPr>
          <w:color w:val="000000" w:themeColor="text1"/>
          <w:szCs w:val="24"/>
        </w:rPr>
        <w:t>phrase</w:t>
      </w:r>
      <w:r>
        <w:rPr>
          <w:color w:val="000000" w:themeColor="text1"/>
          <w:szCs w:val="24"/>
        </w:rPr>
        <w:t xml:space="preserve"> </w:t>
      </w:r>
      <w:r w:rsidR="00EC656B">
        <w:rPr>
          <w:color w:val="000000" w:themeColor="text1"/>
          <w:szCs w:val="24"/>
        </w:rPr>
        <w:t>“</w:t>
      </w:r>
      <w:r>
        <w:rPr>
          <w:color w:val="000000" w:themeColor="text1"/>
          <w:szCs w:val="24"/>
        </w:rPr>
        <w:t>(b)</w:t>
      </w:r>
      <w:r w:rsidR="00EC656B">
        <w:rPr>
          <w:color w:val="000000" w:themeColor="text1"/>
          <w:szCs w:val="24"/>
        </w:rPr>
        <w:t>”</w:t>
      </w:r>
      <w:r>
        <w:rPr>
          <w:color w:val="000000" w:themeColor="text1"/>
          <w:szCs w:val="24"/>
        </w:rPr>
        <w:t xml:space="preserve"> in its place.</w:t>
      </w:r>
    </w:p>
    <w:p w14:paraId="6D58EDF5" w14:textId="77777777" w:rsidR="0087692B" w:rsidRDefault="0087692B" w:rsidP="00006F0B">
      <w:pPr>
        <w:spacing w:line="480" w:lineRule="auto"/>
        <w:ind w:firstLine="720"/>
        <w:contextualSpacing/>
        <w:rPr>
          <w:color w:val="000000" w:themeColor="text1"/>
          <w:szCs w:val="24"/>
        </w:rPr>
      </w:pPr>
    </w:p>
    <w:p w14:paraId="1EFEE34D" w14:textId="343E198C" w:rsidR="004E6591" w:rsidRDefault="004E6591" w:rsidP="00006F0B">
      <w:pPr>
        <w:spacing w:line="480" w:lineRule="auto"/>
        <w:contextualSpacing/>
        <w:rPr>
          <w:highlight w:val="yellow"/>
        </w:rPr>
      </w:pPr>
      <w:r>
        <w:rPr>
          <w:color w:val="000000" w:themeColor="text1"/>
          <w:szCs w:val="24"/>
        </w:rPr>
        <w:tab/>
      </w:r>
      <w:r w:rsidRPr="00183DE6">
        <w:t xml:space="preserve">Sec. </w:t>
      </w:r>
      <w:r>
        <w:t>20</w:t>
      </w:r>
      <w:r w:rsidR="00623746">
        <w:t>4</w:t>
      </w:r>
      <w:r w:rsidRPr="00183DE6">
        <w:t>.</w:t>
      </w:r>
      <w:r>
        <w:t xml:space="preserve"> Payments to public charter schools.</w:t>
      </w:r>
    </w:p>
    <w:p w14:paraId="3362C5C2" w14:textId="2FD07DF9" w:rsidR="004E6591" w:rsidRDefault="004E6591" w:rsidP="00006F0B">
      <w:pPr>
        <w:spacing w:line="480" w:lineRule="auto"/>
      </w:pPr>
      <w:r>
        <w:tab/>
        <w:t xml:space="preserve">In Fiscal Year 2018, each public charter school, as that term is defined in section 102(9) of the </w:t>
      </w:r>
      <w:r>
        <w:rPr>
          <w:rFonts w:eastAsia="Calibri"/>
        </w:rPr>
        <w:t>Uniform Per Student Funding Formula for Public Schools and Public Charter Schools Act of 1998, effective March 26, 1999 (D.C. Law 12-207; D.C. Official Code § 38-2901(9)) (“UPSFF Act”)</w:t>
      </w:r>
      <w:r>
        <w:t>, that received Fiscal-Year-2017-based uniform per student funding formula (“UPSFF”) payments shall receive a payment in Fiscal Year 2018 in an amount equal to the difference between the total sum of Fiscal-Year-2017-based UPSFF payments</w:t>
      </w:r>
      <w:r w:rsidR="00334528">
        <w:t xml:space="preserve"> that</w:t>
      </w:r>
      <w:r>
        <w:t xml:space="preserve"> the </w:t>
      </w:r>
      <w:r w:rsidR="00334528">
        <w:t xml:space="preserve">public </w:t>
      </w:r>
      <w:r>
        <w:t xml:space="preserve">charter school received and the total sum of Fiscal-Year-2017-based UPSFF payments that the public charter school would have received if: </w:t>
      </w:r>
    </w:p>
    <w:p w14:paraId="6F497393" w14:textId="77777777" w:rsidR="004E6591" w:rsidRDefault="004E6591" w:rsidP="00006F0B">
      <w:pPr>
        <w:spacing w:line="480" w:lineRule="auto"/>
      </w:pPr>
      <w:r>
        <w:tab/>
      </w:r>
      <w:r>
        <w:tab/>
        <w:t xml:space="preserve">(1) The foundation level set forth in section 104 of the UPSFF Act (D.C. Official Code § 38-2903) for Fiscal Year 2017 were $9,885; </w:t>
      </w:r>
    </w:p>
    <w:p w14:paraId="6FE3AEE8" w14:textId="0993BF93" w:rsidR="004E6591" w:rsidRDefault="004E6591" w:rsidP="00006F0B">
      <w:pPr>
        <w:spacing w:line="480" w:lineRule="auto"/>
        <w:ind w:firstLine="1440"/>
      </w:pPr>
      <w:r>
        <w:t xml:space="preserve">(2) The per-pupil allocations for Fiscal Year 2017 set forth in </w:t>
      </w:r>
      <w:r w:rsidR="00334528">
        <w:t xml:space="preserve">section </w:t>
      </w:r>
      <w:r>
        <w:t xml:space="preserve">105 of the UPSFF Act (D.C. Official Code § 38-2904) were adjusted to reflect a foundation level of $9,885; </w:t>
      </w:r>
    </w:p>
    <w:p w14:paraId="0CB9F8B0" w14:textId="7FC7F106" w:rsidR="004E6591" w:rsidRDefault="004E6591" w:rsidP="00006F0B">
      <w:pPr>
        <w:spacing w:line="480" w:lineRule="auto"/>
        <w:ind w:firstLine="1440"/>
      </w:pPr>
      <w:r>
        <w:t>(3) The per-pupil supplemental allocations set forth in section 106(c) of the UPSFF Act (D.C. Official Code § 38-2905(c)) were adjusted to refle</w:t>
      </w:r>
      <w:r w:rsidR="002B54A4">
        <w:t>ct a foundation level of $9,885; and</w:t>
      </w:r>
    </w:p>
    <w:p w14:paraId="19B4B6BB" w14:textId="4825C0D2" w:rsidR="004E6591" w:rsidRDefault="004E6591" w:rsidP="00006F0B">
      <w:pPr>
        <w:spacing w:line="480" w:lineRule="auto"/>
        <w:ind w:firstLine="1440"/>
      </w:pPr>
      <w:r>
        <w:t>(4) The at-risk allocations described in section 106a of the UPSFF Act (D.C. Official Code § 38-2905.01) were calculated based on a foundation level of $9,885.</w:t>
      </w:r>
    </w:p>
    <w:p w14:paraId="1180C110" w14:textId="77777777" w:rsidR="00E825FE" w:rsidRDefault="00E825FE" w:rsidP="00006F0B">
      <w:pPr>
        <w:spacing w:line="480" w:lineRule="auto"/>
        <w:ind w:firstLine="1440"/>
      </w:pPr>
    </w:p>
    <w:p w14:paraId="44D2E50C" w14:textId="58F8B7C7" w:rsidR="004E6591" w:rsidRDefault="004E6591" w:rsidP="00006F0B">
      <w:pPr>
        <w:spacing w:line="480" w:lineRule="auto"/>
        <w:ind w:firstLine="720"/>
      </w:pPr>
      <w:r>
        <w:t xml:space="preserve">TITLE III. </w:t>
      </w:r>
      <w:r w:rsidR="00006F0B">
        <w:t xml:space="preserve">APPLICABILITY; </w:t>
      </w:r>
      <w:r>
        <w:t>FISCAL IMPACT; EFFECTIVE DATE</w:t>
      </w:r>
    </w:p>
    <w:p w14:paraId="58AF428E" w14:textId="09CCAFF2" w:rsidR="00006F0B" w:rsidRDefault="004E6591" w:rsidP="00006F0B">
      <w:pPr>
        <w:spacing w:line="480" w:lineRule="auto"/>
        <w:ind w:firstLine="720"/>
      </w:pPr>
      <w:r>
        <w:t>Sec. 30</w:t>
      </w:r>
      <w:r w:rsidR="00623746">
        <w:t>1</w:t>
      </w:r>
      <w:r>
        <w:t xml:space="preserve">. </w:t>
      </w:r>
      <w:r w:rsidR="00006F0B">
        <w:t>Applicability.</w:t>
      </w:r>
    </w:p>
    <w:p w14:paraId="23302A1F" w14:textId="64967BFC" w:rsidR="00006F0B" w:rsidRDefault="00006F0B" w:rsidP="00006F0B">
      <w:pPr>
        <w:spacing w:line="480" w:lineRule="auto"/>
        <w:ind w:firstLine="720"/>
      </w:pPr>
      <w:r>
        <w:t>This act shall apply as of the effective date of the Fiscal Year 2018 Budget Support Act of 2017, enacted on July 31, 2017 (D.C. Act 22-130; 64 DCR 7652).</w:t>
      </w:r>
    </w:p>
    <w:p w14:paraId="4E52ED04" w14:textId="77777777" w:rsidR="00006F0B" w:rsidRDefault="00006F0B" w:rsidP="00006F0B">
      <w:pPr>
        <w:spacing w:line="480" w:lineRule="auto"/>
        <w:ind w:firstLine="720"/>
      </w:pPr>
    </w:p>
    <w:p w14:paraId="36617D8E" w14:textId="019176E8" w:rsidR="004E6591" w:rsidRPr="007474A3" w:rsidRDefault="00006F0B" w:rsidP="00006F0B">
      <w:pPr>
        <w:spacing w:line="480" w:lineRule="auto"/>
        <w:ind w:firstLine="720"/>
      </w:pPr>
      <w:r>
        <w:t xml:space="preserve">Sec. 302. </w:t>
      </w:r>
      <w:r w:rsidR="004E6591" w:rsidRPr="007474A3">
        <w:t>Fiscal impact statement.</w:t>
      </w:r>
    </w:p>
    <w:p w14:paraId="551A8794" w14:textId="75F560D6" w:rsidR="004E6591" w:rsidRDefault="004E6591" w:rsidP="00006F0B">
      <w:pPr>
        <w:spacing w:line="480" w:lineRule="auto"/>
      </w:pPr>
      <w:r w:rsidRPr="007474A3">
        <w:rPr>
          <w:szCs w:val="24"/>
        </w:rPr>
        <w:tab/>
        <w:t xml:space="preserve">The Council adopts the fiscal impact statement of the Budget Director as the fiscal impact statement required by </w:t>
      </w:r>
      <w:r w:rsidR="002B54A4">
        <w:t>section 4a of the General Legislative Procedures Act of 1975, approved October 16, 2006 (120 Stat. 2038; D.C. Official Code § 1-301.47a).</w:t>
      </w:r>
    </w:p>
    <w:p w14:paraId="2D740A7E" w14:textId="77777777" w:rsidR="00D2712F" w:rsidRPr="007474A3" w:rsidRDefault="00D2712F" w:rsidP="00006F0B">
      <w:pPr>
        <w:spacing w:line="480" w:lineRule="auto"/>
        <w:rPr>
          <w:szCs w:val="24"/>
        </w:rPr>
      </w:pPr>
    </w:p>
    <w:p w14:paraId="6BA5C6FB" w14:textId="31B90CE3" w:rsidR="00B0019E" w:rsidRPr="007474A3" w:rsidRDefault="000458D6" w:rsidP="00006F0B">
      <w:pPr>
        <w:spacing w:line="480" w:lineRule="auto"/>
        <w:ind w:firstLine="720"/>
        <w:rPr>
          <w:szCs w:val="24"/>
        </w:rPr>
      </w:pPr>
      <w:r w:rsidRPr="007474A3">
        <w:rPr>
          <w:szCs w:val="24"/>
        </w:rPr>
        <w:t xml:space="preserve">Sec. </w:t>
      </w:r>
      <w:r w:rsidR="004E6591">
        <w:rPr>
          <w:szCs w:val="24"/>
        </w:rPr>
        <w:t>30</w:t>
      </w:r>
      <w:r w:rsidR="00006F0B">
        <w:rPr>
          <w:szCs w:val="24"/>
        </w:rPr>
        <w:t>3</w:t>
      </w:r>
      <w:r w:rsidR="00B0019E" w:rsidRPr="007474A3">
        <w:rPr>
          <w:szCs w:val="24"/>
        </w:rPr>
        <w:t>. Effective date.</w:t>
      </w:r>
    </w:p>
    <w:p w14:paraId="5B7D2414" w14:textId="3A0E09D2" w:rsidR="00D2712F" w:rsidRPr="00A632A5" w:rsidRDefault="00A632A5" w:rsidP="00A632A5">
      <w:pPr>
        <w:spacing w:line="480" w:lineRule="auto"/>
        <w:ind w:firstLine="720"/>
        <w:rPr>
          <w:szCs w:val="24"/>
        </w:rPr>
      </w:pPr>
      <w:bookmarkStart w:id="0" w:name="_GoBack"/>
      <w:bookmarkEnd w:id="0"/>
      <w:r w:rsidRPr="00A632A5">
        <w:rPr>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1-301.47a).</w:t>
      </w:r>
    </w:p>
    <w:p w14:paraId="6ADDFCFD" w14:textId="77777777" w:rsidR="00D2712F" w:rsidRDefault="00D2712F" w:rsidP="00D2712F"/>
    <w:p w14:paraId="7B79C6E8" w14:textId="77777777" w:rsidR="00D2712F" w:rsidRPr="00270AF3" w:rsidRDefault="00D2712F" w:rsidP="00D2712F">
      <w:r w:rsidRPr="00270AF3">
        <w:tab/>
      </w:r>
    </w:p>
    <w:p w14:paraId="613F5B10" w14:textId="1261B3DB" w:rsidR="00D2712F" w:rsidRPr="00B241FC" w:rsidRDefault="00D2712F" w:rsidP="00D2712F">
      <w:pPr>
        <w:rPr>
          <w:sz w:val="16"/>
        </w:rPr>
      </w:pPr>
      <w:r w:rsidRPr="00270AF3">
        <w:tab/>
      </w:r>
      <w:r w:rsidRPr="00270AF3">
        <w:tab/>
      </w:r>
      <w:r w:rsidRPr="00270AF3">
        <w:tab/>
      </w:r>
      <w:r>
        <w:tab/>
      </w:r>
    </w:p>
    <w:sectPr w:rsidR="00D2712F" w:rsidRPr="00B241FC" w:rsidSect="00006F0B">
      <w:headerReference w:type="default" r:id="rId8"/>
      <w:footerReference w:type="default" r:id="rId9"/>
      <w:headerReference w:type="first" r:id="rId10"/>
      <w:pgSz w:w="12240" w:h="15840" w:code="1"/>
      <w:pgMar w:top="1440" w:right="1440" w:bottom="1440" w:left="1440" w:header="1440" w:footer="720"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5052C" w16cid:durableId="1D7BD5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D01D" w14:textId="77777777" w:rsidR="008570A6" w:rsidRDefault="008570A6">
      <w:r>
        <w:separator/>
      </w:r>
    </w:p>
  </w:endnote>
  <w:endnote w:type="continuationSeparator" w:id="0">
    <w:p w14:paraId="4462EDA8" w14:textId="77777777" w:rsidR="008570A6" w:rsidRDefault="008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0C42" w14:textId="0B293D52" w:rsidR="0050464D" w:rsidRDefault="0050464D">
    <w:pPr>
      <w:pStyle w:val="Footer"/>
      <w:jc w:val="center"/>
      <w:rPr>
        <w:rFonts w:ascii="CG Times" w:hAnsi="CG Times"/>
      </w:rPr>
    </w:pP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A632A5">
      <w:rPr>
        <w:rStyle w:val="PageNumber"/>
        <w:rFonts w:ascii="CG Times" w:hAnsi="CG Times"/>
        <w:noProof/>
      </w:rPr>
      <w:t>17</w:t>
    </w:r>
    <w:r>
      <w:rPr>
        <w:rStyle w:val="PageNumber"/>
        <w:rFonts w:ascii="CG Times" w:hAnsi="CG Times"/>
      </w:rPr>
      <w:fldChar w:fldCharType="end"/>
    </w:r>
  </w:p>
  <w:p w14:paraId="32FA4726" w14:textId="77777777" w:rsidR="0050464D" w:rsidRDefault="005046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D8BD" w14:textId="77777777" w:rsidR="008570A6" w:rsidRDefault="008570A6">
      <w:r>
        <w:separator/>
      </w:r>
    </w:p>
  </w:footnote>
  <w:footnote w:type="continuationSeparator" w:id="0">
    <w:p w14:paraId="433F0108" w14:textId="77777777" w:rsidR="008570A6" w:rsidRDefault="0085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EBAC" w14:textId="204E97C4" w:rsidR="00827757" w:rsidRDefault="00827757">
    <w:pPr>
      <w:pStyle w:val="Header"/>
    </w:pP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5ED2" w14:textId="77777777" w:rsidR="0050464D" w:rsidRPr="00AA6F8C" w:rsidRDefault="0050464D">
    <w:pPr>
      <w:pStyle w:val="Header"/>
      <w:rPr>
        <w:b/>
      </w:rPr>
    </w:pPr>
    <w:r w:rsidRPr="00AA6F8C">
      <w:rPr>
        <w:b/>
      </w:rPr>
      <w:t>DRAFT</w:t>
    </w:r>
    <w:r>
      <w:rPr>
        <w:b/>
      </w:rPr>
      <w:t xml:space="preserve"> 9/12/2012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06A"/>
    <w:multiLevelType w:val="hybridMultilevel"/>
    <w:tmpl w:val="30629BDC"/>
    <w:lvl w:ilvl="0" w:tplc="B4744C6C">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578A8"/>
    <w:multiLevelType w:val="hybridMultilevel"/>
    <w:tmpl w:val="728E3840"/>
    <w:lvl w:ilvl="0" w:tplc="7294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80B98"/>
    <w:multiLevelType w:val="hybridMultilevel"/>
    <w:tmpl w:val="E3B89232"/>
    <w:lvl w:ilvl="0" w:tplc="9C42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97D25"/>
    <w:multiLevelType w:val="hybridMultilevel"/>
    <w:tmpl w:val="BF9C7F58"/>
    <w:lvl w:ilvl="0" w:tplc="F80C7C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26CE3"/>
    <w:multiLevelType w:val="hybridMultilevel"/>
    <w:tmpl w:val="EEE8E4BA"/>
    <w:lvl w:ilvl="0" w:tplc="7B46C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8386F"/>
    <w:multiLevelType w:val="hybridMultilevel"/>
    <w:tmpl w:val="19F4017C"/>
    <w:lvl w:ilvl="0" w:tplc="DB784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F1DDD"/>
    <w:multiLevelType w:val="hybridMultilevel"/>
    <w:tmpl w:val="B39880D8"/>
    <w:lvl w:ilvl="0" w:tplc="7C2AF272">
      <w:start w:val="1"/>
      <w:numFmt w:val="decimal"/>
      <w:lvlText w:val="&quot;(%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8A10A6"/>
    <w:multiLevelType w:val="hybridMultilevel"/>
    <w:tmpl w:val="35822E52"/>
    <w:lvl w:ilvl="0" w:tplc="734E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075D9"/>
    <w:multiLevelType w:val="hybridMultilevel"/>
    <w:tmpl w:val="E57A2AD6"/>
    <w:lvl w:ilvl="0" w:tplc="8B4A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C1B4D"/>
    <w:multiLevelType w:val="hybridMultilevel"/>
    <w:tmpl w:val="5EF0B988"/>
    <w:lvl w:ilvl="0" w:tplc="CA40A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C55018"/>
    <w:multiLevelType w:val="hybridMultilevel"/>
    <w:tmpl w:val="06BEDF5C"/>
    <w:lvl w:ilvl="0" w:tplc="B95EC5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403180"/>
    <w:multiLevelType w:val="hybridMultilevel"/>
    <w:tmpl w:val="0C28BB1C"/>
    <w:lvl w:ilvl="0" w:tplc="30B02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9E5CF1"/>
    <w:multiLevelType w:val="hybridMultilevel"/>
    <w:tmpl w:val="F96E81E2"/>
    <w:lvl w:ilvl="0" w:tplc="D286D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7"/>
  </w:num>
  <w:num w:numId="5">
    <w:abstractNumId w:val="0"/>
  </w:num>
  <w:num w:numId="6">
    <w:abstractNumId w:val="3"/>
  </w:num>
  <w:num w:numId="7">
    <w:abstractNumId w:val="1"/>
  </w:num>
  <w:num w:numId="8">
    <w:abstractNumId w:val="8"/>
  </w:num>
  <w:num w:numId="9">
    <w:abstractNumId w:val="12"/>
  </w:num>
  <w:num w:numId="10">
    <w:abstractNumId w:val="4"/>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9F"/>
    <w:rsid w:val="00002D10"/>
    <w:rsid w:val="00006F0B"/>
    <w:rsid w:val="00011515"/>
    <w:rsid w:val="00012594"/>
    <w:rsid w:val="00020BDA"/>
    <w:rsid w:val="000235FF"/>
    <w:rsid w:val="000458D6"/>
    <w:rsid w:val="00061250"/>
    <w:rsid w:val="00066C5E"/>
    <w:rsid w:val="00070022"/>
    <w:rsid w:val="00072C66"/>
    <w:rsid w:val="000804E2"/>
    <w:rsid w:val="00080559"/>
    <w:rsid w:val="00080A7F"/>
    <w:rsid w:val="000850EE"/>
    <w:rsid w:val="0009616F"/>
    <w:rsid w:val="000A43F8"/>
    <w:rsid w:val="000A570A"/>
    <w:rsid w:val="000B3E66"/>
    <w:rsid w:val="000B7FB1"/>
    <w:rsid w:val="000D3EF3"/>
    <w:rsid w:val="000D7041"/>
    <w:rsid w:val="000E0484"/>
    <w:rsid w:val="000E2F2B"/>
    <w:rsid w:val="000F1457"/>
    <w:rsid w:val="000F15E2"/>
    <w:rsid w:val="000F2AEF"/>
    <w:rsid w:val="00103017"/>
    <w:rsid w:val="00106369"/>
    <w:rsid w:val="00106502"/>
    <w:rsid w:val="00106B46"/>
    <w:rsid w:val="00110F9C"/>
    <w:rsid w:val="00112B31"/>
    <w:rsid w:val="001136E4"/>
    <w:rsid w:val="00114CC3"/>
    <w:rsid w:val="001201E3"/>
    <w:rsid w:val="00130B58"/>
    <w:rsid w:val="001324C7"/>
    <w:rsid w:val="00134A1C"/>
    <w:rsid w:val="001354AC"/>
    <w:rsid w:val="00140C66"/>
    <w:rsid w:val="00142CDA"/>
    <w:rsid w:val="001434F3"/>
    <w:rsid w:val="001550C2"/>
    <w:rsid w:val="00161A67"/>
    <w:rsid w:val="001662F2"/>
    <w:rsid w:val="00167780"/>
    <w:rsid w:val="00170CD0"/>
    <w:rsid w:val="0017166E"/>
    <w:rsid w:val="0017257E"/>
    <w:rsid w:val="001775E3"/>
    <w:rsid w:val="001960E4"/>
    <w:rsid w:val="001B0C54"/>
    <w:rsid w:val="001C02C6"/>
    <w:rsid w:val="001C1974"/>
    <w:rsid w:val="001C1F19"/>
    <w:rsid w:val="001C5424"/>
    <w:rsid w:val="001C743C"/>
    <w:rsid w:val="001D04BE"/>
    <w:rsid w:val="001D2F02"/>
    <w:rsid w:val="001D3057"/>
    <w:rsid w:val="001D4924"/>
    <w:rsid w:val="001F62BC"/>
    <w:rsid w:val="001F7D38"/>
    <w:rsid w:val="0020019A"/>
    <w:rsid w:val="0020176B"/>
    <w:rsid w:val="00203486"/>
    <w:rsid w:val="00207976"/>
    <w:rsid w:val="00207C08"/>
    <w:rsid w:val="002124FC"/>
    <w:rsid w:val="00213C18"/>
    <w:rsid w:val="00217B8F"/>
    <w:rsid w:val="0023206D"/>
    <w:rsid w:val="0025644E"/>
    <w:rsid w:val="00262603"/>
    <w:rsid w:val="00263061"/>
    <w:rsid w:val="00263DB8"/>
    <w:rsid w:val="00270EB6"/>
    <w:rsid w:val="0027150A"/>
    <w:rsid w:val="0027208E"/>
    <w:rsid w:val="00280746"/>
    <w:rsid w:val="00282AC7"/>
    <w:rsid w:val="00282FC9"/>
    <w:rsid w:val="00283B1D"/>
    <w:rsid w:val="002909E4"/>
    <w:rsid w:val="002959C1"/>
    <w:rsid w:val="002B18D6"/>
    <w:rsid w:val="002B371D"/>
    <w:rsid w:val="002B54A4"/>
    <w:rsid w:val="002C76F3"/>
    <w:rsid w:val="002C7E24"/>
    <w:rsid w:val="002F29C7"/>
    <w:rsid w:val="00302593"/>
    <w:rsid w:val="00305A17"/>
    <w:rsid w:val="00310C90"/>
    <w:rsid w:val="0032025A"/>
    <w:rsid w:val="0032525D"/>
    <w:rsid w:val="00332A52"/>
    <w:rsid w:val="00334528"/>
    <w:rsid w:val="003375E8"/>
    <w:rsid w:val="003402D2"/>
    <w:rsid w:val="003468F9"/>
    <w:rsid w:val="00347D71"/>
    <w:rsid w:val="003509E6"/>
    <w:rsid w:val="00355CC8"/>
    <w:rsid w:val="00356DEC"/>
    <w:rsid w:val="00356E85"/>
    <w:rsid w:val="00357902"/>
    <w:rsid w:val="0036306A"/>
    <w:rsid w:val="00365B62"/>
    <w:rsid w:val="00367863"/>
    <w:rsid w:val="00370B0A"/>
    <w:rsid w:val="00381195"/>
    <w:rsid w:val="0038310B"/>
    <w:rsid w:val="0039101B"/>
    <w:rsid w:val="003915AD"/>
    <w:rsid w:val="0039205D"/>
    <w:rsid w:val="0039439F"/>
    <w:rsid w:val="00396F0D"/>
    <w:rsid w:val="00397487"/>
    <w:rsid w:val="003C02F8"/>
    <w:rsid w:val="003C3298"/>
    <w:rsid w:val="003D57E5"/>
    <w:rsid w:val="003E11D0"/>
    <w:rsid w:val="003E3B72"/>
    <w:rsid w:val="003F4520"/>
    <w:rsid w:val="00410A5C"/>
    <w:rsid w:val="00410CB6"/>
    <w:rsid w:val="00412847"/>
    <w:rsid w:val="004315F4"/>
    <w:rsid w:val="00445632"/>
    <w:rsid w:val="00450A9E"/>
    <w:rsid w:val="00453891"/>
    <w:rsid w:val="00455595"/>
    <w:rsid w:val="004555FD"/>
    <w:rsid w:val="00467407"/>
    <w:rsid w:val="00470AD3"/>
    <w:rsid w:val="00472836"/>
    <w:rsid w:val="00494317"/>
    <w:rsid w:val="00495EA3"/>
    <w:rsid w:val="00496CE6"/>
    <w:rsid w:val="004A736E"/>
    <w:rsid w:val="004B1024"/>
    <w:rsid w:val="004B2899"/>
    <w:rsid w:val="004C44A7"/>
    <w:rsid w:val="004C4580"/>
    <w:rsid w:val="004C654E"/>
    <w:rsid w:val="004D29BC"/>
    <w:rsid w:val="004D7200"/>
    <w:rsid w:val="004E6591"/>
    <w:rsid w:val="004E7EDA"/>
    <w:rsid w:val="004E7EE0"/>
    <w:rsid w:val="004F3D36"/>
    <w:rsid w:val="005002F2"/>
    <w:rsid w:val="00503121"/>
    <w:rsid w:val="00504621"/>
    <w:rsid w:val="0050464D"/>
    <w:rsid w:val="00505E43"/>
    <w:rsid w:val="005128E7"/>
    <w:rsid w:val="00514247"/>
    <w:rsid w:val="00515FFB"/>
    <w:rsid w:val="005257C1"/>
    <w:rsid w:val="005271E5"/>
    <w:rsid w:val="00532B9A"/>
    <w:rsid w:val="00544605"/>
    <w:rsid w:val="005466DD"/>
    <w:rsid w:val="0055203E"/>
    <w:rsid w:val="00554641"/>
    <w:rsid w:val="0056608A"/>
    <w:rsid w:val="0057062D"/>
    <w:rsid w:val="00584569"/>
    <w:rsid w:val="00587304"/>
    <w:rsid w:val="005875E0"/>
    <w:rsid w:val="00595DBE"/>
    <w:rsid w:val="00596D8D"/>
    <w:rsid w:val="005A70D7"/>
    <w:rsid w:val="005A756A"/>
    <w:rsid w:val="005B52C4"/>
    <w:rsid w:val="005B62F0"/>
    <w:rsid w:val="005C051F"/>
    <w:rsid w:val="005C27A7"/>
    <w:rsid w:val="005C5C49"/>
    <w:rsid w:val="005C737E"/>
    <w:rsid w:val="005C78E2"/>
    <w:rsid w:val="005D0122"/>
    <w:rsid w:val="005D4FA6"/>
    <w:rsid w:val="005D5135"/>
    <w:rsid w:val="005D662A"/>
    <w:rsid w:val="005E4C35"/>
    <w:rsid w:val="005F24FD"/>
    <w:rsid w:val="00601187"/>
    <w:rsid w:val="00604055"/>
    <w:rsid w:val="00604536"/>
    <w:rsid w:val="006071F2"/>
    <w:rsid w:val="00611C76"/>
    <w:rsid w:val="006123F7"/>
    <w:rsid w:val="00612739"/>
    <w:rsid w:val="00623746"/>
    <w:rsid w:val="006251CD"/>
    <w:rsid w:val="00631DFC"/>
    <w:rsid w:val="006354ED"/>
    <w:rsid w:val="00636B0C"/>
    <w:rsid w:val="006446C6"/>
    <w:rsid w:val="00645732"/>
    <w:rsid w:val="00645BDC"/>
    <w:rsid w:val="00652450"/>
    <w:rsid w:val="006526A9"/>
    <w:rsid w:val="00654BFF"/>
    <w:rsid w:val="00660666"/>
    <w:rsid w:val="00661D22"/>
    <w:rsid w:val="00666F49"/>
    <w:rsid w:val="00667449"/>
    <w:rsid w:val="00673095"/>
    <w:rsid w:val="006815AF"/>
    <w:rsid w:val="00685C72"/>
    <w:rsid w:val="00685E3E"/>
    <w:rsid w:val="00687BD3"/>
    <w:rsid w:val="00692658"/>
    <w:rsid w:val="00692CFC"/>
    <w:rsid w:val="00692D0D"/>
    <w:rsid w:val="0069465E"/>
    <w:rsid w:val="006A29AB"/>
    <w:rsid w:val="006A4E43"/>
    <w:rsid w:val="006B5294"/>
    <w:rsid w:val="006C3238"/>
    <w:rsid w:val="006D322D"/>
    <w:rsid w:val="006D3D4F"/>
    <w:rsid w:val="006D52C5"/>
    <w:rsid w:val="006D6A8A"/>
    <w:rsid w:val="006D6DC9"/>
    <w:rsid w:val="006E12D3"/>
    <w:rsid w:val="006F01FB"/>
    <w:rsid w:val="006F06C7"/>
    <w:rsid w:val="006F2776"/>
    <w:rsid w:val="006F362F"/>
    <w:rsid w:val="006F5D75"/>
    <w:rsid w:val="007052D7"/>
    <w:rsid w:val="007068B7"/>
    <w:rsid w:val="00712D85"/>
    <w:rsid w:val="00723F15"/>
    <w:rsid w:val="00724450"/>
    <w:rsid w:val="007253F5"/>
    <w:rsid w:val="00737831"/>
    <w:rsid w:val="0074226E"/>
    <w:rsid w:val="00743A0E"/>
    <w:rsid w:val="007449A6"/>
    <w:rsid w:val="007466E6"/>
    <w:rsid w:val="00747314"/>
    <w:rsid w:val="007474A3"/>
    <w:rsid w:val="00754B6E"/>
    <w:rsid w:val="00764888"/>
    <w:rsid w:val="0076570E"/>
    <w:rsid w:val="00770AF3"/>
    <w:rsid w:val="007714C4"/>
    <w:rsid w:val="007725E9"/>
    <w:rsid w:val="00773EBE"/>
    <w:rsid w:val="00775690"/>
    <w:rsid w:val="007906B2"/>
    <w:rsid w:val="00793053"/>
    <w:rsid w:val="007969F6"/>
    <w:rsid w:val="007A0F50"/>
    <w:rsid w:val="007A54CF"/>
    <w:rsid w:val="007A79DF"/>
    <w:rsid w:val="007B0867"/>
    <w:rsid w:val="007B375D"/>
    <w:rsid w:val="007C3B41"/>
    <w:rsid w:val="007C6C1E"/>
    <w:rsid w:val="007C7ABE"/>
    <w:rsid w:val="007D2197"/>
    <w:rsid w:val="007D3378"/>
    <w:rsid w:val="007D3E01"/>
    <w:rsid w:val="007D44F9"/>
    <w:rsid w:val="007E3B33"/>
    <w:rsid w:val="007E5E35"/>
    <w:rsid w:val="007F1CAB"/>
    <w:rsid w:val="008050B0"/>
    <w:rsid w:val="00813F8E"/>
    <w:rsid w:val="00814938"/>
    <w:rsid w:val="00816801"/>
    <w:rsid w:val="008237FC"/>
    <w:rsid w:val="00827757"/>
    <w:rsid w:val="00830F71"/>
    <w:rsid w:val="008337FD"/>
    <w:rsid w:val="00835761"/>
    <w:rsid w:val="0083697E"/>
    <w:rsid w:val="00840108"/>
    <w:rsid w:val="00850337"/>
    <w:rsid w:val="00853FF2"/>
    <w:rsid w:val="00855A74"/>
    <w:rsid w:val="008570A6"/>
    <w:rsid w:val="00864295"/>
    <w:rsid w:val="0087215D"/>
    <w:rsid w:val="00872B26"/>
    <w:rsid w:val="00873D14"/>
    <w:rsid w:val="00875D90"/>
    <w:rsid w:val="0087692B"/>
    <w:rsid w:val="00884E36"/>
    <w:rsid w:val="0088604D"/>
    <w:rsid w:val="008870A9"/>
    <w:rsid w:val="008A2144"/>
    <w:rsid w:val="008A58BF"/>
    <w:rsid w:val="008B2457"/>
    <w:rsid w:val="008C2EED"/>
    <w:rsid w:val="008C3E8D"/>
    <w:rsid w:val="008D2B97"/>
    <w:rsid w:val="008D7B15"/>
    <w:rsid w:val="008E25BA"/>
    <w:rsid w:val="008F012A"/>
    <w:rsid w:val="008F223D"/>
    <w:rsid w:val="008F673E"/>
    <w:rsid w:val="008F7D1F"/>
    <w:rsid w:val="0090706C"/>
    <w:rsid w:val="00914F9A"/>
    <w:rsid w:val="00915727"/>
    <w:rsid w:val="00916425"/>
    <w:rsid w:val="009210DC"/>
    <w:rsid w:val="00926770"/>
    <w:rsid w:val="009275E3"/>
    <w:rsid w:val="00932FA0"/>
    <w:rsid w:val="0093345C"/>
    <w:rsid w:val="00945B03"/>
    <w:rsid w:val="009510A9"/>
    <w:rsid w:val="00954261"/>
    <w:rsid w:val="00957154"/>
    <w:rsid w:val="0096113C"/>
    <w:rsid w:val="00965447"/>
    <w:rsid w:val="00970C6A"/>
    <w:rsid w:val="00970D90"/>
    <w:rsid w:val="0097102A"/>
    <w:rsid w:val="0097393D"/>
    <w:rsid w:val="0099133E"/>
    <w:rsid w:val="009930DA"/>
    <w:rsid w:val="00993B6C"/>
    <w:rsid w:val="00995E43"/>
    <w:rsid w:val="009A0289"/>
    <w:rsid w:val="009A1E9D"/>
    <w:rsid w:val="009A5A9F"/>
    <w:rsid w:val="009B3C8A"/>
    <w:rsid w:val="009D206B"/>
    <w:rsid w:val="009D4BE8"/>
    <w:rsid w:val="009D4EE8"/>
    <w:rsid w:val="009E1F5E"/>
    <w:rsid w:val="009E4AFD"/>
    <w:rsid w:val="009F4924"/>
    <w:rsid w:val="009F4E31"/>
    <w:rsid w:val="009F5274"/>
    <w:rsid w:val="009F53AC"/>
    <w:rsid w:val="00A00ECB"/>
    <w:rsid w:val="00A100C6"/>
    <w:rsid w:val="00A12075"/>
    <w:rsid w:val="00A268A0"/>
    <w:rsid w:val="00A26CCA"/>
    <w:rsid w:val="00A27DDF"/>
    <w:rsid w:val="00A338FF"/>
    <w:rsid w:val="00A44A07"/>
    <w:rsid w:val="00A511F0"/>
    <w:rsid w:val="00A632A5"/>
    <w:rsid w:val="00A6631D"/>
    <w:rsid w:val="00A70749"/>
    <w:rsid w:val="00A7110A"/>
    <w:rsid w:val="00A714CA"/>
    <w:rsid w:val="00A73246"/>
    <w:rsid w:val="00A92837"/>
    <w:rsid w:val="00A93B60"/>
    <w:rsid w:val="00A9489F"/>
    <w:rsid w:val="00AA2309"/>
    <w:rsid w:val="00AA5952"/>
    <w:rsid w:val="00AA6F8C"/>
    <w:rsid w:val="00AA747C"/>
    <w:rsid w:val="00AB1252"/>
    <w:rsid w:val="00AC3DA5"/>
    <w:rsid w:val="00AD59A8"/>
    <w:rsid w:val="00AE2A25"/>
    <w:rsid w:val="00AE49C5"/>
    <w:rsid w:val="00AE4A7A"/>
    <w:rsid w:val="00AE581E"/>
    <w:rsid w:val="00AF64A5"/>
    <w:rsid w:val="00B0019E"/>
    <w:rsid w:val="00B06602"/>
    <w:rsid w:val="00B06963"/>
    <w:rsid w:val="00B13951"/>
    <w:rsid w:val="00B228F8"/>
    <w:rsid w:val="00B253F7"/>
    <w:rsid w:val="00B267FF"/>
    <w:rsid w:val="00B343A4"/>
    <w:rsid w:val="00B368B6"/>
    <w:rsid w:val="00B45D0C"/>
    <w:rsid w:val="00B540A2"/>
    <w:rsid w:val="00B646EA"/>
    <w:rsid w:val="00B66345"/>
    <w:rsid w:val="00B7648E"/>
    <w:rsid w:val="00B81916"/>
    <w:rsid w:val="00B82149"/>
    <w:rsid w:val="00B83BAC"/>
    <w:rsid w:val="00B854A6"/>
    <w:rsid w:val="00BA121F"/>
    <w:rsid w:val="00BA1877"/>
    <w:rsid w:val="00BB191C"/>
    <w:rsid w:val="00BB2BA0"/>
    <w:rsid w:val="00BB5D44"/>
    <w:rsid w:val="00BB7803"/>
    <w:rsid w:val="00BC19D0"/>
    <w:rsid w:val="00BC7B51"/>
    <w:rsid w:val="00BD2542"/>
    <w:rsid w:val="00BD7F51"/>
    <w:rsid w:val="00BE3B17"/>
    <w:rsid w:val="00BE5883"/>
    <w:rsid w:val="00BE70C5"/>
    <w:rsid w:val="00BF287F"/>
    <w:rsid w:val="00C01D2D"/>
    <w:rsid w:val="00C07819"/>
    <w:rsid w:val="00C111D8"/>
    <w:rsid w:val="00C27356"/>
    <w:rsid w:val="00C340BF"/>
    <w:rsid w:val="00C4440B"/>
    <w:rsid w:val="00C55867"/>
    <w:rsid w:val="00C652D2"/>
    <w:rsid w:val="00C71787"/>
    <w:rsid w:val="00C72509"/>
    <w:rsid w:val="00C73FAF"/>
    <w:rsid w:val="00C74B45"/>
    <w:rsid w:val="00C8265C"/>
    <w:rsid w:val="00C84671"/>
    <w:rsid w:val="00C8505C"/>
    <w:rsid w:val="00C874BA"/>
    <w:rsid w:val="00C87F5E"/>
    <w:rsid w:val="00C94C2E"/>
    <w:rsid w:val="00C94F46"/>
    <w:rsid w:val="00C95B13"/>
    <w:rsid w:val="00CA3092"/>
    <w:rsid w:val="00CA3499"/>
    <w:rsid w:val="00CB27ED"/>
    <w:rsid w:val="00CB646B"/>
    <w:rsid w:val="00CE5B9F"/>
    <w:rsid w:val="00CF34EE"/>
    <w:rsid w:val="00CF7E9F"/>
    <w:rsid w:val="00D0040A"/>
    <w:rsid w:val="00D0202E"/>
    <w:rsid w:val="00D0223D"/>
    <w:rsid w:val="00D06BCC"/>
    <w:rsid w:val="00D07083"/>
    <w:rsid w:val="00D118CA"/>
    <w:rsid w:val="00D12716"/>
    <w:rsid w:val="00D145E3"/>
    <w:rsid w:val="00D14DA3"/>
    <w:rsid w:val="00D16F8F"/>
    <w:rsid w:val="00D17461"/>
    <w:rsid w:val="00D1762A"/>
    <w:rsid w:val="00D2296C"/>
    <w:rsid w:val="00D2712F"/>
    <w:rsid w:val="00D27154"/>
    <w:rsid w:val="00D35EAC"/>
    <w:rsid w:val="00D35F83"/>
    <w:rsid w:val="00D40C35"/>
    <w:rsid w:val="00D41FB9"/>
    <w:rsid w:val="00D52FEB"/>
    <w:rsid w:val="00D53164"/>
    <w:rsid w:val="00D655E1"/>
    <w:rsid w:val="00D66D48"/>
    <w:rsid w:val="00D717E8"/>
    <w:rsid w:val="00D7608A"/>
    <w:rsid w:val="00D956C0"/>
    <w:rsid w:val="00D957F2"/>
    <w:rsid w:val="00DA0D84"/>
    <w:rsid w:val="00DB5DAD"/>
    <w:rsid w:val="00DC46EA"/>
    <w:rsid w:val="00DD5591"/>
    <w:rsid w:val="00DE1055"/>
    <w:rsid w:val="00DE651D"/>
    <w:rsid w:val="00DF31DB"/>
    <w:rsid w:val="00DF5C1B"/>
    <w:rsid w:val="00DF7032"/>
    <w:rsid w:val="00E0498E"/>
    <w:rsid w:val="00E10213"/>
    <w:rsid w:val="00E11DB5"/>
    <w:rsid w:val="00E15B06"/>
    <w:rsid w:val="00E22534"/>
    <w:rsid w:val="00E3302B"/>
    <w:rsid w:val="00E33C33"/>
    <w:rsid w:val="00E341B3"/>
    <w:rsid w:val="00E372AA"/>
    <w:rsid w:val="00E40AAD"/>
    <w:rsid w:val="00E46E90"/>
    <w:rsid w:val="00E50B4C"/>
    <w:rsid w:val="00E5476D"/>
    <w:rsid w:val="00E54D7E"/>
    <w:rsid w:val="00E568DA"/>
    <w:rsid w:val="00E61E8F"/>
    <w:rsid w:val="00E6370A"/>
    <w:rsid w:val="00E66F13"/>
    <w:rsid w:val="00E700E5"/>
    <w:rsid w:val="00E81117"/>
    <w:rsid w:val="00E825FE"/>
    <w:rsid w:val="00E82744"/>
    <w:rsid w:val="00E83432"/>
    <w:rsid w:val="00E87398"/>
    <w:rsid w:val="00E901F1"/>
    <w:rsid w:val="00E9232F"/>
    <w:rsid w:val="00EB438A"/>
    <w:rsid w:val="00EC2930"/>
    <w:rsid w:val="00EC656B"/>
    <w:rsid w:val="00EC6C99"/>
    <w:rsid w:val="00EC7119"/>
    <w:rsid w:val="00EC7AC5"/>
    <w:rsid w:val="00ED0295"/>
    <w:rsid w:val="00ED060D"/>
    <w:rsid w:val="00EE17D7"/>
    <w:rsid w:val="00EE7BDA"/>
    <w:rsid w:val="00F00635"/>
    <w:rsid w:val="00F110D0"/>
    <w:rsid w:val="00F12D84"/>
    <w:rsid w:val="00F13346"/>
    <w:rsid w:val="00F16B43"/>
    <w:rsid w:val="00F223A7"/>
    <w:rsid w:val="00F31071"/>
    <w:rsid w:val="00F36B77"/>
    <w:rsid w:val="00F403AC"/>
    <w:rsid w:val="00F40E2F"/>
    <w:rsid w:val="00F425BA"/>
    <w:rsid w:val="00F47593"/>
    <w:rsid w:val="00F5216D"/>
    <w:rsid w:val="00F5505C"/>
    <w:rsid w:val="00F67E36"/>
    <w:rsid w:val="00F73F0F"/>
    <w:rsid w:val="00F80F16"/>
    <w:rsid w:val="00F82413"/>
    <w:rsid w:val="00F861AC"/>
    <w:rsid w:val="00F90ADB"/>
    <w:rsid w:val="00F97F6D"/>
    <w:rsid w:val="00FB1AB6"/>
    <w:rsid w:val="00FB313B"/>
    <w:rsid w:val="00FB475D"/>
    <w:rsid w:val="00FB4D29"/>
    <w:rsid w:val="00FB50C8"/>
    <w:rsid w:val="00FC30FD"/>
    <w:rsid w:val="00FC38BC"/>
    <w:rsid w:val="00FC41BB"/>
    <w:rsid w:val="00FC66F9"/>
    <w:rsid w:val="00FC7B24"/>
    <w:rsid w:val="00FD0714"/>
    <w:rsid w:val="00FD6035"/>
    <w:rsid w:val="00FE103C"/>
    <w:rsid w:val="00FE162A"/>
    <w:rsid w:val="00FE332F"/>
    <w:rsid w:val="00FE362B"/>
    <w:rsid w:val="00FE7397"/>
    <w:rsid w:val="00FF4E0C"/>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F523CA"/>
  <w15:chartTrackingRefBased/>
  <w15:docId w15:val="{965AA355-1E73-40D9-9E7E-1A70459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D2"/>
    <w:rPr>
      <w:sz w:val="24"/>
    </w:rPr>
  </w:style>
  <w:style w:type="paragraph" w:styleId="Heading1">
    <w:name w:val="heading 1"/>
    <w:basedOn w:val="Normal"/>
    <w:next w:val="Normal"/>
    <w:link w:val="Heading1Char"/>
    <w:qFormat/>
    <w:rsid w:val="008050B0"/>
    <w:pPr>
      <w:keepNext/>
      <w:outlineLvl w:val="0"/>
    </w:pPr>
    <w:rPr>
      <w:rFonts w:ascii="Arial" w:eastAsia="Arial Unicode MS" w:hAnsi="Arial" w:cs="Arial"/>
      <w:b/>
      <w:bCs/>
      <w:sz w:val="28"/>
    </w:rPr>
  </w:style>
  <w:style w:type="paragraph" w:styleId="Heading2">
    <w:name w:val="heading 2"/>
    <w:basedOn w:val="Normal"/>
    <w:next w:val="Normal"/>
    <w:qFormat/>
    <w:rsid w:val="003402D2"/>
    <w:pPr>
      <w:keepNext/>
      <w:spacing w:after="240"/>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2D2"/>
    <w:pPr>
      <w:tabs>
        <w:tab w:val="center" w:pos="4320"/>
        <w:tab w:val="right" w:pos="8640"/>
      </w:tabs>
    </w:pPr>
  </w:style>
  <w:style w:type="paragraph" w:styleId="Footer">
    <w:name w:val="footer"/>
    <w:basedOn w:val="Normal"/>
    <w:link w:val="FooterChar"/>
    <w:uiPriority w:val="99"/>
    <w:rsid w:val="003402D2"/>
    <w:pPr>
      <w:tabs>
        <w:tab w:val="center" w:pos="4320"/>
        <w:tab w:val="right" w:pos="8640"/>
      </w:tabs>
    </w:pPr>
  </w:style>
  <w:style w:type="paragraph" w:styleId="EndnoteText">
    <w:name w:val="endnote text"/>
    <w:basedOn w:val="NormalJustified"/>
    <w:semiHidden/>
    <w:rsid w:val="003402D2"/>
  </w:style>
  <w:style w:type="paragraph" w:customStyle="1" w:styleId="NormalJustified">
    <w:name w:val="Normal (Justified)"/>
    <w:basedOn w:val="Normal"/>
    <w:rsid w:val="003402D2"/>
    <w:pPr>
      <w:jc w:val="both"/>
    </w:pPr>
    <w:rPr>
      <w:rFonts w:eastAsia="SimSun"/>
      <w:kern w:val="28"/>
      <w:lang w:eastAsia="zh-CN"/>
    </w:rPr>
  </w:style>
  <w:style w:type="paragraph" w:styleId="Date">
    <w:name w:val="Date"/>
    <w:basedOn w:val="Normal"/>
    <w:next w:val="NormalJustified"/>
    <w:rsid w:val="003402D2"/>
    <w:pPr>
      <w:jc w:val="center"/>
    </w:pPr>
    <w:rPr>
      <w:rFonts w:eastAsia="SimSun"/>
      <w:kern w:val="28"/>
      <w:lang w:eastAsia="zh-CN"/>
    </w:rPr>
  </w:style>
  <w:style w:type="paragraph" w:customStyle="1" w:styleId="Document1">
    <w:name w:val="Document 1"/>
    <w:rsid w:val="003402D2"/>
    <w:pPr>
      <w:keepNext/>
      <w:keepLines/>
      <w:widowControl w:val="0"/>
      <w:tabs>
        <w:tab w:val="left" w:pos="-720"/>
      </w:tabs>
      <w:suppressAutoHyphens/>
    </w:pPr>
    <w:rPr>
      <w:rFonts w:ascii="Courier" w:hAnsi="Courier"/>
      <w:snapToGrid w:val="0"/>
      <w:sz w:val="24"/>
    </w:rPr>
  </w:style>
  <w:style w:type="character" w:styleId="PageNumber">
    <w:name w:val="page number"/>
    <w:basedOn w:val="DefaultParagraphFont"/>
    <w:rsid w:val="003402D2"/>
  </w:style>
  <w:style w:type="paragraph" w:styleId="BodyText2">
    <w:name w:val="Body Text 2"/>
    <w:basedOn w:val="Normal"/>
    <w:rsid w:val="003402D2"/>
    <w:pPr>
      <w:spacing w:line="480" w:lineRule="auto"/>
    </w:pPr>
  </w:style>
  <w:style w:type="character" w:styleId="LineNumber">
    <w:name w:val="line number"/>
    <w:basedOn w:val="DefaultParagraphFont"/>
    <w:rsid w:val="003402D2"/>
  </w:style>
  <w:style w:type="paragraph" w:styleId="BalloonText">
    <w:name w:val="Balloon Text"/>
    <w:basedOn w:val="Normal"/>
    <w:semiHidden/>
    <w:rsid w:val="003402D2"/>
    <w:rPr>
      <w:rFonts w:ascii="Tahoma" w:hAnsi="Tahoma" w:cs="Tahoma"/>
      <w:sz w:val="16"/>
      <w:szCs w:val="16"/>
    </w:rPr>
  </w:style>
  <w:style w:type="paragraph" w:styleId="BodyText">
    <w:name w:val="Body Text"/>
    <w:basedOn w:val="Normal"/>
    <w:rsid w:val="003402D2"/>
    <w:pPr>
      <w:spacing w:after="120"/>
    </w:pPr>
  </w:style>
  <w:style w:type="paragraph" w:styleId="DocumentMap">
    <w:name w:val="Document Map"/>
    <w:basedOn w:val="Normal"/>
    <w:semiHidden/>
    <w:rsid w:val="003402D2"/>
    <w:pPr>
      <w:shd w:val="clear" w:color="auto" w:fill="000080"/>
    </w:pPr>
    <w:rPr>
      <w:rFonts w:ascii="Tahoma" w:hAnsi="Tahoma" w:cs="Tahoma"/>
      <w:sz w:val="20"/>
    </w:rPr>
  </w:style>
  <w:style w:type="paragraph" w:styleId="ListParagraph">
    <w:name w:val="List Paragraph"/>
    <w:basedOn w:val="Normal"/>
    <w:uiPriority w:val="34"/>
    <w:qFormat/>
    <w:rsid w:val="003E3B72"/>
    <w:pPr>
      <w:ind w:left="720"/>
      <w:contextualSpacing/>
    </w:pPr>
    <w:rPr>
      <w:rFonts w:eastAsia="Calibri"/>
      <w:szCs w:val="24"/>
    </w:rPr>
  </w:style>
  <w:style w:type="character" w:styleId="CommentReference">
    <w:name w:val="annotation reference"/>
    <w:rsid w:val="009275E3"/>
    <w:rPr>
      <w:sz w:val="16"/>
      <w:szCs w:val="16"/>
    </w:rPr>
  </w:style>
  <w:style w:type="paragraph" w:styleId="CommentText">
    <w:name w:val="annotation text"/>
    <w:basedOn w:val="Normal"/>
    <w:link w:val="CommentTextChar"/>
    <w:rsid w:val="009275E3"/>
    <w:rPr>
      <w:sz w:val="20"/>
    </w:rPr>
  </w:style>
  <w:style w:type="character" w:customStyle="1" w:styleId="CommentTextChar">
    <w:name w:val="Comment Text Char"/>
    <w:basedOn w:val="DefaultParagraphFont"/>
    <w:link w:val="CommentText"/>
    <w:rsid w:val="009275E3"/>
  </w:style>
  <w:style w:type="paragraph" w:styleId="CommentSubject">
    <w:name w:val="annotation subject"/>
    <w:basedOn w:val="CommentText"/>
    <w:next w:val="CommentText"/>
    <w:link w:val="CommentSubjectChar"/>
    <w:rsid w:val="009275E3"/>
    <w:rPr>
      <w:b/>
      <w:bCs/>
    </w:rPr>
  </w:style>
  <w:style w:type="character" w:customStyle="1" w:styleId="CommentSubjectChar">
    <w:name w:val="Comment Subject Char"/>
    <w:link w:val="CommentSubject"/>
    <w:rsid w:val="009275E3"/>
    <w:rPr>
      <w:b/>
      <w:bCs/>
    </w:rPr>
  </w:style>
  <w:style w:type="paragraph" w:styleId="Revision">
    <w:name w:val="Revision"/>
    <w:hidden/>
    <w:uiPriority w:val="99"/>
    <w:semiHidden/>
    <w:rsid w:val="007D3E01"/>
    <w:rPr>
      <w:sz w:val="24"/>
    </w:rPr>
  </w:style>
  <w:style w:type="character" w:customStyle="1" w:styleId="Heading1Char">
    <w:name w:val="Heading 1 Char"/>
    <w:link w:val="Heading1"/>
    <w:rsid w:val="008050B0"/>
    <w:rPr>
      <w:rFonts w:ascii="Arial" w:eastAsia="Arial Unicode MS" w:hAnsi="Arial" w:cs="Arial"/>
      <w:b/>
      <w:bCs/>
      <w:sz w:val="28"/>
    </w:rPr>
  </w:style>
  <w:style w:type="character" w:customStyle="1" w:styleId="FooterChar">
    <w:name w:val="Footer Char"/>
    <w:link w:val="Footer"/>
    <w:uiPriority w:val="99"/>
    <w:rsid w:val="008050B0"/>
    <w:rPr>
      <w:sz w:val="24"/>
    </w:rPr>
  </w:style>
  <w:style w:type="paragraph" w:styleId="NoSpacing">
    <w:name w:val="No Spacing"/>
    <w:uiPriority w:val="1"/>
    <w:qFormat/>
    <w:rsid w:val="008050B0"/>
    <w:rPr>
      <w:sz w:val="24"/>
    </w:rPr>
  </w:style>
  <w:style w:type="character" w:customStyle="1" w:styleId="HeaderChar">
    <w:name w:val="Header Char"/>
    <w:link w:val="Header"/>
    <w:uiPriority w:val="99"/>
    <w:rsid w:val="00830F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2327">
      <w:bodyDiv w:val="1"/>
      <w:marLeft w:val="0"/>
      <w:marRight w:val="0"/>
      <w:marTop w:val="0"/>
      <w:marBottom w:val="0"/>
      <w:divBdr>
        <w:top w:val="none" w:sz="0" w:space="0" w:color="auto"/>
        <w:left w:val="none" w:sz="0" w:space="0" w:color="auto"/>
        <w:bottom w:val="none" w:sz="0" w:space="0" w:color="auto"/>
        <w:right w:val="none" w:sz="0" w:space="0" w:color="auto"/>
      </w:divBdr>
    </w:div>
    <w:div w:id="643582158">
      <w:bodyDiv w:val="1"/>
      <w:marLeft w:val="0"/>
      <w:marRight w:val="0"/>
      <w:marTop w:val="0"/>
      <w:marBottom w:val="0"/>
      <w:divBdr>
        <w:top w:val="none" w:sz="0" w:space="0" w:color="auto"/>
        <w:left w:val="none" w:sz="0" w:space="0" w:color="auto"/>
        <w:bottom w:val="none" w:sz="0" w:space="0" w:color="auto"/>
        <w:right w:val="none" w:sz="0" w:space="0" w:color="auto"/>
      </w:divBdr>
    </w:div>
    <w:div w:id="724793264">
      <w:bodyDiv w:val="1"/>
      <w:marLeft w:val="0"/>
      <w:marRight w:val="0"/>
      <w:marTop w:val="0"/>
      <w:marBottom w:val="0"/>
      <w:divBdr>
        <w:top w:val="none" w:sz="0" w:space="0" w:color="auto"/>
        <w:left w:val="none" w:sz="0" w:space="0" w:color="auto"/>
        <w:bottom w:val="none" w:sz="0" w:space="0" w:color="auto"/>
        <w:right w:val="none" w:sz="0" w:space="0" w:color="auto"/>
      </w:divBdr>
    </w:div>
    <w:div w:id="825516394">
      <w:bodyDiv w:val="1"/>
      <w:marLeft w:val="0"/>
      <w:marRight w:val="0"/>
      <w:marTop w:val="0"/>
      <w:marBottom w:val="0"/>
      <w:divBdr>
        <w:top w:val="none" w:sz="0" w:space="0" w:color="auto"/>
        <w:left w:val="none" w:sz="0" w:space="0" w:color="auto"/>
        <w:bottom w:val="none" w:sz="0" w:space="0" w:color="auto"/>
        <w:right w:val="none" w:sz="0" w:space="0" w:color="auto"/>
      </w:divBdr>
    </w:div>
    <w:div w:id="1701128152">
      <w:bodyDiv w:val="1"/>
      <w:marLeft w:val="0"/>
      <w:marRight w:val="0"/>
      <w:marTop w:val="0"/>
      <w:marBottom w:val="0"/>
      <w:divBdr>
        <w:top w:val="none" w:sz="0" w:space="0" w:color="auto"/>
        <w:left w:val="none" w:sz="0" w:space="0" w:color="auto"/>
        <w:bottom w:val="none" w:sz="0" w:space="0" w:color="auto"/>
        <w:right w:val="none" w:sz="0" w:space="0" w:color="auto"/>
      </w:divBdr>
    </w:div>
    <w:div w:id="1851992974">
      <w:bodyDiv w:val="1"/>
      <w:marLeft w:val="0"/>
      <w:marRight w:val="0"/>
      <w:marTop w:val="0"/>
      <w:marBottom w:val="0"/>
      <w:divBdr>
        <w:top w:val="none" w:sz="0" w:space="0" w:color="auto"/>
        <w:left w:val="none" w:sz="0" w:space="0" w:color="auto"/>
        <w:bottom w:val="none" w:sz="0" w:space="0" w:color="auto"/>
        <w:right w:val="none" w:sz="0" w:space="0" w:color="auto"/>
      </w:divBdr>
    </w:div>
    <w:div w:id="1932817791">
      <w:bodyDiv w:val="1"/>
      <w:marLeft w:val="0"/>
      <w:marRight w:val="0"/>
      <w:marTop w:val="0"/>
      <w:marBottom w:val="0"/>
      <w:divBdr>
        <w:top w:val="none" w:sz="0" w:space="0" w:color="auto"/>
        <w:left w:val="none" w:sz="0" w:space="0" w:color="auto"/>
        <w:bottom w:val="none" w:sz="0" w:space="0" w:color="auto"/>
        <w:right w:val="none" w:sz="0" w:space="0" w:color="auto"/>
      </w:divBdr>
    </w:div>
    <w:div w:id="1982424013">
      <w:bodyDiv w:val="1"/>
      <w:marLeft w:val="0"/>
      <w:marRight w:val="0"/>
      <w:marTop w:val="0"/>
      <w:marBottom w:val="0"/>
      <w:divBdr>
        <w:top w:val="none" w:sz="0" w:space="0" w:color="auto"/>
        <w:left w:val="none" w:sz="0" w:space="0" w:color="auto"/>
        <w:bottom w:val="none" w:sz="0" w:space="0" w:color="auto"/>
        <w:right w:val="none" w:sz="0" w:space="0" w:color="auto"/>
      </w:divBdr>
    </w:div>
    <w:div w:id="2118789193">
      <w:bodyDiv w:val="1"/>
      <w:marLeft w:val="0"/>
      <w:marRight w:val="0"/>
      <w:marTop w:val="0"/>
      <w:marBottom w:val="0"/>
      <w:divBdr>
        <w:top w:val="none" w:sz="0" w:space="0" w:color="auto"/>
        <w:left w:val="none" w:sz="0" w:space="0" w:color="auto"/>
        <w:bottom w:val="none" w:sz="0" w:space="0" w:color="auto"/>
        <w:right w:val="none" w:sz="0" w:space="0" w:color="auto"/>
      </w:divBdr>
    </w:div>
    <w:div w:id="21362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AB9E-AA13-414E-A24F-5E2B6E84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3836</Words>
  <Characters>20337</Characters>
  <Application>Microsoft Office Word</Application>
  <DocSecurity>0</DocSecurity>
  <PresentationFormat>[Compatibility Mode]</PresentationFormat>
  <Lines>169</Lines>
  <Paragraphs>48</Paragraphs>
  <ScaleCrop>false</ScaleCrop>
  <HeadingPairs>
    <vt:vector size="2" baseType="variant">
      <vt:variant>
        <vt:lpstr>Title</vt:lpstr>
      </vt:variant>
      <vt:variant>
        <vt:i4>1</vt:i4>
      </vt:variant>
    </vt:vector>
  </HeadingPairs>
  <TitlesOfParts>
    <vt:vector size="1" baseType="lpstr">
      <vt:lpstr>Emergency District Department of Transportation USRC Grant Amendment Act of 2012 (045082).DOC</vt:lpstr>
    </vt:vector>
  </TitlesOfParts>
  <Company>DC Council</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District Department of Transportation USRC Grant Amendment Act of 2012 (045082).DOC</dc:title>
  <dc:subject/>
  <dc:creator>aphelps@DCCOUNCIL.US</dc:creator>
  <cp:keywords/>
  <cp:lastModifiedBy>Phelps, Anne (Council)</cp:lastModifiedBy>
  <cp:revision>5</cp:revision>
  <cp:lastPrinted>2017-11-30T16:35:00Z</cp:lastPrinted>
  <dcterms:created xsi:type="dcterms:W3CDTF">2017-11-30T16:25:00Z</dcterms:created>
  <dcterms:modified xsi:type="dcterms:W3CDTF">2017-11-30T16:48:00Z</dcterms:modified>
</cp:coreProperties>
</file>