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289E" w14:textId="77777777" w:rsidR="00DD5DC2" w:rsidRPr="00BB156A" w:rsidRDefault="00DD5DC2" w:rsidP="00DD5DC2">
      <w:pPr>
        <w:jc w:val="center"/>
        <w:rPr>
          <w:b/>
          <w:bCs/>
          <w:sz w:val="28"/>
          <w:szCs w:val="28"/>
        </w:rPr>
      </w:pPr>
      <w:bookmarkStart w:id="0" w:name="_Toc396489361"/>
      <w:bookmarkStart w:id="1" w:name="_Toc10645064"/>
      <w:r w:rsidRPr="00BB156A">
        <w:rPr>
          <w:b/>
          <w:bCs/>
          <w:smallCaps/>
          <w:sz w:val="28"/>
          <w:szCs w:val="28"/>
        </w:rPr>
        <w:t>COVID-19 Response Supplemental Emergency Amendment Act of 2020</w:t>
      </w:r>
    </w:p>
    <w:p w14:paraId="217F0054" w14:textId="71DED48D" w:rsidR="00DD5DC2" w:rsidRDefault="00DD5DC2" w:rsidP="00DD5D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April </w:t>
      </w:r>
      <w:r w:rsidR="00590033">
        <w:rPr>
          <w:b/>
          <w:bCs/>
          <w:sz w:val="22"/>
          <w:szCs w:val="22"/>
        </w:rPr>
        <w:t>6</w:t>
      </w:r>
      <w:bookmarkStart w:id="2" w:name="_GoBack"/>
      <w:bookmarkEnd w:id="2"/>
    </w:p>
    <w:p w14:paraId="203C6292" w14:textId="77777777" w:rsidR="00DD5DC2" w:rsidRPr="006A49EC" w:rsidRDefault="00DD5DC2" w:rsidP="00DD5DC2">
      <w:pPr>
        <w:jc w:val="center"/>
        <w:rPr>
          <w:b/>
          <w:bCs/>
        </w:rPr>
      </w:pPr>
    </w:p>
    <w:p w14:paraId="479E3C87" w14:textId="77777777" w:rsidR="00DD5DC2" w:rsidRPr="00003C30" w:rsidRDefault="00DD5DC2" w:rsidP="00DD5DC2">
      <w:pPr>
        <w:jc w:val="center"/>
        <w:rPr>
          <w:b/>
          <w:bCs/>
          <w:sz w:val="23"/>
          <w:szCs w:val="23"/>
        </w:rPr>
      </w:pPr>
    </w:p>
    <w:bookmarkEnd w:id="0"/>
    <w:bookmarkEnd w:id="1"/>
    <w:p w14:paraId="1C84D772" w14:textId="387DDDE8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 w:rsidRPr="00003C30">
        <w:rPr>
          <w:sz w:val="23"/>
          <w:szCs w:val="23"/>
          <w:u w:val="single"/>
        </w:rPr>
        <w:t>Section 101</w:t>
      </w:r>
      <w:r w:rsidRPr="00003C30">
        <w:rPr>
          <w:sz w:val="23"/>
          <w:szCs w:val="23"/>
        </w:rPr>
        <w:t xml:space="preserve"> </w:t>
      </w:r>
      <w:r w:rsidRPr="00003C30">
        <w:rPr>
          <w:sz w:val="23"/>
          <w:szCs w:val="23"/>
        </w:rPr>
        <w:tab/>
      </w:r>
      <w:r>
        <w:rPr>
          <w:sz w:val="23"/>
          <w:szCs w:val="23"/>
        </w:rPr>
        <w:t>Unemployment clarifications to align with CARES Act</w:t>
      </w:r>
    </w:p>
    <w:p w14:paraId="4025DA19" w14:textId="4FC53D25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</w:t>
      </w:r>
      <w:r w:rsidR="00D3427E">
        <w:rPr>
          <w:sz w:val="23"/>
          <w:szCs w:val="23"/>
          <w:u w:val="single"/>
        </w:rPr>
        <w:t>2</w:t>
      </w:r>
      <w:r>
        <w:rPr>
          <w:sz w:val="23"/>
          <w:szCs w:val="23"/>
        </w:rPr>
        <w:tab/>
        <w:t>District Work-Share program expansion</w:t>
      </w:r>
    </w:p>
    <w:p w14:paraId="072CB678" w14:textId="34E33028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</w:t>
      </w:r>
      <w:r w:rsidR="00D3427E">
        <w:rPr>
          <w:sz w:val="23"/>
          <w:szCs w:val="23"/>
          <w:u w:val="single"/>
        </w:rPr>
        <w:t>3</w:t>
      </w:r>
      <w:r>
        <w:rPr>
          <w:sz w:val="23"/>
          <w:szCs w:val="23"/>
        </w:rPr>
        <w:tab/>
        <w:t>Sick and Safe Leave clarifications to align with CARES Act</w:t>
      </w:r>
    </w:p>
    <w:p w14:paraId="62DB506A" w14:textId="1B28EDC5" w:rsidR="00365424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</w:t>
      </w:r>
      <w:r w:rsidR="00D3427E">
        <w:rPr>
          <w:sz w:val="23"/>
          <w:szCs w:val="23"/>
          <w:u w:val="single"/>
        </w:rPr>
        <w:t>4</w:t>
      </w:r>
      <w:r>
        <w:rPr>
          <w:sz w:val="23"/>
          <w:szCs w:val="23"/>
        </w:rPr>
        <w:tab/>
      </w:r>
      <w:r w:rsidR="00365424">
        <w:rPr>
          <w:sz w:val="23"/>
          <w:szCs w:val="23"/>
        </w:rPr>
        <w:t>Emergency leave enforcement mechanism.</w:t>
      </w:r>
    </w:p>
    <w:p w14:paraId="44B80ADB" w14:textId="1CFE8A43" w:rsidR="00DD5DC2" w:rsidRDefault="00365424" w:rsidP="00DD5DC2">
      <w:pPr>
        <w:spacing w:after="160"/>
        <w:ind w:left="2160" w:hanging="2160"/>
        <w:jc w:val="both"/>
        <w:rPr>
          <w:sz w:val="23"/>
          <w:szCs w:val="23"/>
        </w:rPr>
      </w:pPr>
      <w:r w:rsidRPr="00365424">
        <w:rPr>
          <w:sz w:val="23"/>
          <w:szCs w:val="23"/>
          <w:u w:val="single"/>
        </w:rPr>
        <w:t>Section 10</w:t>
      </w:r>
      <w:r w:rsidR="00590033">
        <w:rPr>
          <w:sz w:val="23"/>
          <w:szCs w:val="23"/>
          <w:u w:val="single"/>
        </w:rPr>
        <w:t>5</w:t>
      </w:r>
      <w:r>
        <w:rPr>
          <w:sz w:val="23"/>
          <w:szCs w:val="23"/>
        </w:rPr>
        <w:tab/>
      </w:r>
      <w:r w:rsidR="00DD5DC2">
        <w:rPr>
          <w:sz w:val="23"/>
          <w:szCs w:val="23"/>
        </w:rPr>
        <w:t>Adjustments to UDC Fundraising match program</w:t>
      </w:r>
    </w:p>
    <w:p w14:paraId="4E9EBD2C" w14:textId="7B5B2283" w:rsidR="00D3427E" w:rsidRPr="00D3427E" w:rsidRDefault="00D3427E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</w:t>
      </w:r>
      <w:r w:rsidR="00590033">
        <w:rPr>
          <w:sz w:val="23"/>
          <w:szCs w:val="23"/>
          <w:u w:val="single"/>
        </w:rPr>
        <w:t>6</w:t>
      </w:r>
      <w:r>
        <w:rPr>
          <w:sz w:val="23"/>
          <w:szCs w:val="23"/>
        </w:rPr>
        <w:tab/>
        <w:t>Graduation requirements</w:t>
      </w:r>
    </w:p>
    <w:p w14:paraId="638541B5" w14:textId="7777777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201</w:t>
      </w:r>
      <w:r>
        <w:rPr>
          <w:sz w:val="23"/>
          <w:szCs w:val="23"/>
        </w:rPr>
        <w:tab/>
        <w:t>Enhanced penalties for unfair trade practices (DCRA fines doubled)</w:t>
      </w:r>
    </w:p>
    <w:p w14:paraId="7CD08EF5" w14:textId="4F98FD08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2</w:t>
      </w:r>
      <w:r>
        <w:rPr>
          <w:sz w:val="23"/>
          <w:szCs w:val="23"/>
        </w:rPr>
        <w:tab/>
        <w:t>Requires mortgage companies to offer a 90-day deferment program</w:t>
      </w:r>
    </w:p>
    <w:p w14:paraId="68094B68" w14:textId="3AB12986" w:rsidR="00DD5DC2" w:rsidRDefault="00DD5DC2" w:rsidP="00DD5DC2">
      <w:pPr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3</w:t>
      </w:r>
      <w:r>
        <w:rPr>
          <w:sz w:val="23"/>
          <w:szCs w:val="23"/>
        </w:rPr>
        <w:tab/>
        <w:t xml:space="preserve">(1) Revised TOPA extensions, </w:t>
      </w:r>
    </w:p>
    <w:p w14:paraId="479EBF1B" w14:textId="77777777" w:rsidR="00DD5DC2" w:rsidRDefault="00DD5DC2" w:rsidP="00DD5DC2">
      <w:pPr>
        <w:ind w:left="2160" w:hanging="2160"/>
        <w:jc w:val="both"/>
        <w:rPr>
          <w:sz w:val="23"/>
          <w:szCs w:val="23"/>
        </w:rPr>
      </w:pPr>
      <w:r w:rsidRPr="00712908">
        <w:rPr>
          <w:sz w:val="23"/>
          <w:szCs w:val="23"/>
        </w:rPr>
        <w:tab/>
      </w:r>
      <w:r>
        <w:rPr>
          <w:sz w:val="23"/>
          <w:szCs w:val="23"/>
        </w:rPr>
        <w:t>(2) Notices of intent to vacate residential units tolled (when someone tells a landlord they are moving out and don’t, they won’t be penalized double rent)</w:t>
      </w:r>
    </w:p>
    <w:p w14:paraId="30163EFC" w14:textId="3D8652DB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(3) Rent freeze (not holiday)</w:t>
      </w:r>
    </w:p>
    <w:p w14:paraId="607B0AA8" w14:textId="5033EDB6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4</w:t>
      </w:r>
      <w:r>
        <w:rPr>
          <w:sz w:val="23"/>
          <w:szCs w:val="23"/>
        </w:rPr>
        <w:tab/>
        <w:t>Expands utility shutoff to cable and telecom, allows OAG to enforce, and expansion of CRIAC relief to include non-impervious surface fees</w:t>
      </w:r>
    </w:p>
    <w:p w14:paraId="6B54C950" w14:textId="65257B9D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5</w:t>
      </w:r>
      <w:r>
        <w:rPr>
          <w:sz w:val="23"/>
          <w:szCs w:val="23"/>
        </w:rPr>
        <w:tab/>
      </w:r>
      <w:r w:rsidR="00D3427E">
        <w:rPr>
          <w:sz w:val="23"/>
          <w:szCs w:val="23"/>
        </w:rPr>
        <w:t>Expands CBE utilization for purchases in a PHE</w:t>
      </w:r>
    </w:p>
    <w:p w14:paraId="35266E22" w14:textId="01324935" w:rsidR="00D3427E" w:rsidRDefault="00D3427E" w:rsidP="00D3427E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206</w:t>
      </w:r>
      <w:r>
        <w:rPr>
          <w:sz w:val="23"/>
          <w:szCs w:val="23"/>
        </w:rPr>
        <w:tab/>
        <w:t>Consumer protection for funeral services</w:t>
      </w:r>
    </w:p>
    <w:p w14:paraId="2EBBECB0" w14:textId="0977BB93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7</w:t>
      </w:r>
      <w:r>
        <w:rPr>
          <w:sz w:val="23"/>
          <w:szCs w:val="23"/>
        </w:rPr>
        <w:tab/>
        <w:t>Debt collection relief during PHE</w:t>
      </w:r>
    </w:p>
    <w:p w14:paraId="4AA647A0" w14:textId="19F67329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</w:t>
      </w:r>
      <w:r w:rsidR="00D3427E">
        <w:rPr>
          <w:sz w:val="23"/>
          <w:szCs w:val="23"/>
          <w:u w:val="single"/>
        </w:rPr>
        <w:t>0</w:t>
      </w:r>
      <w:r w:rsidR="00590033">
        <w:rPr>
          <w:sz w:val="23"/>
          <w:szCs w:val="23"/>
          <w:u w:val="single"/>
        </w:rPr>
        <w:t>8</w:t>
      </w:r>
      <w:r>
        <w:rPr>
          <w:sz w:val="23"/>
          <w:szCs w:val="23"/>
        </w:rPr>
        <w:tab/>
        <w:t>Clarification of ABRA pick up and carry out provisions</w:t>
      </w:r>
    </w:p>
    <w:p w14:paraId="68169692" w14:textId="375613C4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</w:t>
      </w:r>
      <w:r w:rsidR="00590033">
        <w:rPr>
          <w:sz w:val="23"/>
          <w:szCs w:val="23"/>
          <w:u w:val="single"/>
        </w:rPr>
        <w:t>09</w:t>
      </w:r>
      <w:r>
        <w:rPr>
          <w:sz w:val="23"/>
          <w:szCs w:val="23"/>
        </w:rPr>
        <w:tab/>
        <w:t>Expanded uses of Opportunity Accounts (DC savings accounts)</w:t>
      </w:r>
    </w:p>
    <w:p w14:paraId="459B49E3" w14:textId="3C853B18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</w:t>
      </w:r>
      <w:r w:rsidR="00590033">
        <w:rPr>
          <w:sz w:val="23"/>
          <w:szCs w:val="23"/>
          <w:u w:val="single"/>
        </w:rPr>
        <w:t>10</w:t>
      </w:r>
      <w:r>
        <w:rPr>
          <w:sz w:val="23"/>
          <w:szCs w:val="23"/>
        </w:rPr>
        <w:tab/>
        <w:t>Authorizes advance payments for CBE contractors</w:t>
      </w:r>
    </w:p>
    <w:p w14:paraId="716E640D" w14:textId="45E1ABC1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</w:t>
      </w:r>
      <w:r w:rsidR="00590033">
        <w:rPr>
          <w:sz w:val="23"/>
          <w:szCs w:val="23"/>
          <w:u w:val="single"/>
        </w:rPr>
        <w:t>1</w:t>
      </w:r>
      <w:r>
        <w:rPr>
          <w:sz w:val="23"/>
          <w:szCs w:val="23"/>
        </w:rPr>
        <w:tab/>
        <w:t>Vacant property designation waive</w:t>
      </w:r>
      <w:r w:rsidR="00AA5B61">
        <w:rPr>
          <w:sz w:val="23"/>
          <w:szCs w:val="23"/>
        </w:rPr>
        <w:t>r</w:t>
      </w:r>
      <w:r>
        <w:rPr>
          <w:sz w:val="23"/>
          <w:szCs w:val="23"/>
        </w:rPr>
        <w:t xml:space="preserve"> for commercial businesses closed</w:t>
      </w:r>
      <w:r w:rsidR="00AA5B61">
        <w:rPr>
          <w:sz w:val="23"/>
          <w:szCs w:val="23"/>
        </w:rPr>
        <w:t xml:space="preserve"> for PHE</w:t>
      </w:r>
    </w:p>
    <w:p w14:paraId="3DD85CE3" w14:textId="387DB3AC" w:rsidR="00365424" w:rsidRPr="00365424" w:rsidRDefault="00365424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</w:t>
      </w:r>
      <w:r w:rsidR="00590033">
        <w:rPr>
          <w:sz w:val="23"/>
          <w:szCs w:val="23"/>
          <w:u w:val="single"/>
        </w:rPr>
        <w:t>2</w:t>
      </w:r>
      <w:r>
        <w:rPr>
          <w:sz w:val="23"/>
          <w:szCs w:val="23"/>
        </w:rPr>
        <w:tab/>
        <w:t>Clarifies that federal SBA tax relief from being a tax event</w:t>
      </w:r>
    </w:p>
    <w:p w14:paraId="330137B7" w14:textId="7777777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301</w:t>
      </w:r>
      <w:r>
        <w:rPr>
          <w:sz w:val="23"/>
          <w:szCs w:val="23"/>
        </w:rPr>
        <w:tab/>
        <w:t>Extends investigation timeline for Police Complaints Board</w:t>
      </w:r>
    </w:p>
    <w:p w14:paraId="48702D11" w14:textId="65221635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</w:t>
      </w:r>
      <w:r w:rsidR="00590033">
        <w:rPr>
          <w:sz w:val="23"/>
          <w:szCs w:val="23"/>
          <w:u w:val="single"/>
        </w:rPr>
        <w:t>2</w:t>
      </w:r>
      <w:r>
        <w:rPr>
          <w:sz w:val="23"/>
          <w:szCs w:val="23"/>
        </w:rPr>
        <w:tab/>
        <w:t>Declares FEMS personnel failure to use PPE as advised not an OHR violation</w:t>
      </w:r>
    </w:p>
    <w:p w14:paraId="127DC95C" w14:textId="05D8175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</w:t>
      </w:r>
      <w:r w:rsidR="00590033">
        <w:rPr>
          <w:sz w:val="23"/>
          <w:szCs w:val="23"/>
          <w:u w:val="single"/>
        </w:rPr>
        <w:t>3</w:t>
      </w:r>
      <w:r>
        <w:rPr>
          <w:sz w:val="23"/>
          <w:szCs w:val="23"/>
        </w:rPr>
        <w:tab/>
        <w:t>Gives OAG authority to initiate civil action</w:t>
      </w:r>
      <w:r w:rsidR="00AA5B61">
        <w:rPr>
          <w:sz w:val="23"/>
          <w:szCs w:val="23"/>
        </w:rPr>
        <w:t>s</w:t>
      </w:r>
      <w:r>
        <w:rPr>
          <w:sz w:val="23"/>
          <w:szCs w:val="23"/>
        </w:rPr>
        <w:t xml:space="preserve"> to enforce civil rights</w:t>
      </w:r>
      <w:r w:rsidR="00AA5B61">
        <w:rPr>
          <w:sz w:val="23"/>
          <w:szCs w:val="23"/>
        </w:rPr>
        <w:t xml:space="preserve"> violations</w:t>
      </w:r>
    </w:p>
    <w:p w14:paraId="7EA27C46" w14:textId="0E282EC9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</w:t>
      </w:r>
      <w:r w:rsidR="00590033">
        <w:rPr>
          <w:sz w:val="23"/>
          <w:szCs w:val="23"/>
          <w:u w:val="single"/>
        </w:rPr>
        <w:t>4</w:t>
      </w:r>
      <w:r>
        <w:rPr>
          <w:sz w:val="23"/>
          <w:szCs w:val="23"/>
        </w:rPr>
        <w:tab/>
        <w:t>Extends 15-day clock for non-custodial arrestees to report to 90 days</w:t>
      </w:r>
    </w:p>
    <w:p w14:paraId="3A868FED" w14:textId="16FFC852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</w:t>
      </w:r>
      <w:r w:rsidR="00590033">
        <w:rPr>
          <w:sz w:val="23"/>
          <w:szCs w:val="23"/>
          <w:u w:val="single"/>
        </w:rPr>
        <w:t>5</w:t>
      </w:r>
      <w:r>
        <w:rPr>
          <w:sz w:val="23"/>
          <w:szCs w:val="23"/>
        </w:rPr>
        <w:tab/>
      </w:r>
      <w:r w:rsidR="00D3427E">
        <w:rPr>
          <w:sz w:val="23"/>
          <w:szCs w:val="23"/>
        </w:rPr>
        <w:t>Good time credits and compassionate release provisions for BOP inmates</w:t>
      </w:r>
    </w:p>
    <w:p w14:paraId="6DB4B825" w14:textId="79F6A724" w:rsidR="00590033" w:rsidRDefault="00590033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306</w:t>
      </w:r>
      <w:r w:rsidRPr="00590033">
        <w:rPr>
          <w:sz w:val="23"/>
          <w:szCs w:val="23"/>
        </w:rPr>
        <w:t>*</w:t>
      </w:r>
      <w:r>
        <w:rPr>
          <w:sz w:val="23"/>
          <w:szCs w:val="23"/>
        </w:rPr>
        <w:tab/>
        <w:t>Authorization for electronic wills during PHE</w:t>
      </w:r>
    </w:p>
    <w:p w14:paraId="574C52BC" w14:textId="2E6D68AE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401</w:t>
      </w:r>
      <w:r>
        <w:rPr>
          <w:sz w:val="23"/>
          <w:szCs w:val="23"/>
        </w:rPr>
        <w:tab/>
        <w:t>Amendments to the Public Emergency Act: Exempt DC personnel and contractors from liability and extend Mayor’s authority additional 45 days</w:t>
      </w:r>
    </w:p>
    <w:p w14:paraId="365595E1" w14:textId="1E282643" w:rsidR="00CC0502" w:rsidRPr="00CC0502" w:rsidRDefault="00CC050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402</w:t>
      </w:r>
      <w:r>
        <w:rPr>
          <w:sz w:val="23"/>
          <w:szCs w:val="23"/>
        </w:rPr>
        <w:tab/>
        <w:t>Voluntary extension for youth under CFSA who otherwise age out</w:t>
      </w:r>
    </w:p>
    <w:p w14:paraId="222B36B0" w14:textId="0550A598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lastRenderedPageBreak/>
        <w:t>Section 501</w:t>
      </w:r>
      <w:r>
        <w:rPr>
          <w:sz w:val="23"/>
          <w:szCs w:val="23"/>
        </w:rPr>
        <w:tab/>
        <w:t>Agency heads deemed approved after 90 days</w:t>
      </w:r>
      <w:r w:rsidR="00511768">
        <w:rPr>
          <w:sz w:val="23"/>
          <w:szCs w:val="23"/>
        </w:rPr>
        <w:t xml:space="preserve"> (current law)</w:t>
      </w:r>
      <w:r>
        <w:rPr>
          <w:sz w:val="23"/>
          <w:szCs w:val="23"/>
        </w:rPr>
        <w:t xml:space="preserve">, unless a resolution of disapproval in which case the clock </w:t>
      </w:r>
      <w:r w:rsidR="00511768">
        <w:rPr>
          <w:sz w:val="23"/>
          <w:szCs w:val="23"/>
        </w:rPr>
        <w:t>tolls for duration of</w:t>
      </w:r>
      <w:r>
        <w:rPr>
          <w:sz w:val="23"/>
          <w:szCs w:val="23"/>
        </w:rPr>
        <w:t xml:space="preserve"> the PHE.</w:t>
      </w:r>
    </w:p>
    <w:p w14:paraId="6EDDD527" w14:textId="1CAC442D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Hold-over appointments </w:t>
      </w:r>
      <w:r w:rsidR="00511768">
        <w:rPr>
          <w:sz w:val="23"/>
          <w:szCs w:val="23"/>
        </w:rPr>
        <w:t>allowed</w:t>
      </w:r>
      <w:r>
        <w:rPr>
          <w:sz w:val="23"/>
          <w:szCs w:val="23"/>
        </w:rPr>
        <w:t xml:space="preserve"> during the PHE (</w:t>
      </w:r>
      <w:r w:rsidR="00287E69">
        <w:rPr>
          <w:sz w:val="23"/>
          <w:szCs w:val="23"/>
        </w:rPr>
        <w:t>180-day</w:t>
      </w:r>
      <w:r>
        <w:rPr>
          <w:sz w:val="23"/>
          <w:szCs w:val="23"/>
        </w:rPr>
        <w:t xml:space="preserve"> limit</w:t>
      </w:r>
      <w:r w:rsidR="00511768">
        <w:rPr>
          <w:sz w:val="23"/>
          <w:szCs w:val="23"/>
        </w:rPr>
        <w:t xml:space="preserve"> currently</w:t>
      </w:r>
      <w:r>
        <w:rPr>
          <w:sz w:val="23"/>
          <w:szCs w:val="23"/>
        </w:rPr>
        <w:t>)</w:t>
      </w:r>
    </w:p>
    <w:p w14:paraId="4F47237E" w14:textId="77777777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Deem disapprove board/commission nominations tolled during the PHE</w:t>
      </w:r>
    </w:p>
    <w:p w14:paraId="77296905" w14:textId="7FE0E964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Deem approve board/commission nominations tolled if disapproval </w:t>
      </w:r>
      <w:r w:rsidR="00511768">
        <w:rPr>
          <w:sz w:val="23"/>
          <w:szCs w:val="23"/>
        </w:rPr>
        <w:t>resolution</w:t>
      </w:r>
    </w:p>
    <w:p w14:paraId="0AAED344" w14:textId="59901F28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All other mayoral approval matters with a clock sent to the Council are tolled</w:t>
      </w:r>
    </w:p>
    <w:p w14:paraId="09083872" w14:textId="2A6A7F84" w:rsidR="002208CC" w:rsidRPr="00763EFC" w:rsidRDefault="002208CC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Clarify that GBMs hold over for 2 business days instead of 48 hours</w:t>
      </w:r>
      <w:r w:rsidR="00D3427E">
        <w:rPr>
          <w:sz w:val="23"/>
          <w:szCs w:val="23"/>
        </w:rPr>
        <w:t>*</w:t>
      </w:r>
    </w:p>
    <w:p w14:paraId="6FEB8149" w14:textId="7777777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502</w:t>
      </w:r>
      <w:r>
        <w:rPr>
          <w:sz w:val="23"/>
          <w:szCs w:val="23"/>
        </w:rPr>
        <w:tab/>
        <w:t>Revisions to Council Code of Conduct to allow Members to promote local businesses and send out newsletters related to COVID without OGC review.</w:t>
      </w:r>
    </w:p>
    <w:p w14:paraId="38CBC674" w14:textId="6DF48C4F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503</w:t>
      </w:r>
      <w:r>
        <w:rPr>
          <w:sz w:val="23"/>
          <w:szCs w:val="23"/>
        </w:rPr>
        <w:tab/>
        <w:t xml:space="preserve">Additional ANC provisions </w:t>
      </w:r>
      <w:r w:rsidR="00590033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590033">
        <w:rPr>
          <w:sz w:val="23"/>
          <w:szCs w:val="23"/>
        </w:rPr>
        <w:t xml:space="preserve">21 additional review days </w:t>
      </w:r>
      <w:r>
        <w:rPr>
          <w:sz w:val="23"/>
          <w:szCs w:val="23"/>
        </w:rPr>
        <w:t>and reporting deadlines</w:t>
      </w:r>
    </w:p>
    <w:p w14:paraId="3619487A" w14:textId="7A409E9C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4</w:t>
      </w:r>
      <w:r>
        <w:rPr>
          <w:sz w:val="23"/>
          <w:szCs w:val="23"/>
        </w:rPr>
        <w:tab/>
        <w:t>BEGA disclosure and lobbying report flexibility, DCRB disclosure extension</w:t>
      </w:r>
    </w:p>
    <w:p w14:paraId="02FE387B" w14:textId="70271B35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5</w:t>
      </w:r>
      <w:r>
        <w:rPr>
          <w:sz w:val="23"/>
          <w:szCs w:val="23"/>
        </w:rPr>
        <w:tab/>
        <w:t>Board of elections flexibility for June elections</w:t>
      </w:r>
    </w:p>
    <w:p w14:paraId="6DC97716" w14:textId="1D8B180D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6</w:t>
      </w:r>
      <w:r>
        <w:rPr>
          <w:sz w:val="23"/>
          <w:szCs w:val="23"/>
        </w:rPr>
        <w:tab/>
        <w:t>Absentee ballot signature waiver</w:t>
      </w:r>
    </w:p>
    <w:p w14:paraId="51433A11" w14:textId="06274889" w:rsidR="00365424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7</w:t>
      </w:r>
      <w:r>
        <w:rPr>
          <w:sz w:val="23"/>
          <w:szCs w:val="23"/>
        </w:rPr>
        <w:tab/>
      </w:r>
      <w:r w:rsidR="00365424">
        <w:rPr>
          <w:sz w:val="23"/>
          <w:szCs w:val="23"/>
        </w:rPr>
        <w:t>Adjustment of stipends for Board of Elections</w:t>
      </w:r>
    </w:p>
    <w:p w14:paraId="64EA6DDF" w14:textId="68805511" w:rsidR="00DD5DC2" w:rsidRDefault="00365424" w:rsidP="00DD5DC2">
      <w:pPr>
        <w:spacing w:after="160"/>
        <w:ind w:left="2160" w:hanging="2160"/>
        <w:jc w:val="both"/>
        <w:rPr>
          <w:sz w:val="23"/>
          <w:szCs w:val="23"/>
        </w:rPr>
      </w:pPr>
      <w:r w:rsidRPr="00365424">
        <w:rPr>
          <w:sz w:val="23"/>
          <w:szCs w:val="23"/>
          <w:u w:val="single"/>
        </w:rPr>
        <w:t>Section 508</w:t>
      </w:r>
      <w:r>
        <w:rPr>
          <w:sz w:val="23"/>
          <w:szCs w:val="23"/>
        </w:rPr>
        <w:tab/>
      </w:r>
      <w:r w:rsidR="00DD5DC2">
        <w:rPr>
          <w:sz w:val="23"/>
          <w:szCs w:val="23"/>
        </w:rPr>
        <w:t>Tolling of Administrative Hearings deadlines</w:t>
      </w:r>
    </w:p>
    <w:p w14:paraId="1085DD8E" w14:textId="7540B194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365424">
        <w:rPr>
          <w:sz w:val="23"/>
          <w:szCs w:val="23"/>
          <w:u w:val="single"/>
        </w:rPr>
        <w:t>9</w:t>
      </w:r>
      <w:r>
        <w:rPr>
          <w:sz w:val="23"/>
          <w:szCs w:val="23"/>
        </w:rPr>
        <w:tab/>
        <w:t>Approval of pending Mayoral nominations</w:t>
      </w:r>
    </w:p>
    <w:p w14:paraId="7A914662" w14:textId="3F038CDC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Title 6</w:t>
      </w:r>
      <w:r>
        <w:rPr>
          <w:sz w:val="23"/>
          <w:szCs w:val="23"/>
        </w:rPr>
        <w:tab/>
        <w:t>GO and TRANS Bond Authorization (from OCFO)</w:t>
      </w:r>
    </w:p>
    <w:p w14:paraId="063FB99A" w14:textId="07797680" w:rsidR="002208CC" w:rsidRPr="002208CC" w:rsidRDefault="002208CC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Title 7</w:t>
      </w:r>
      <w:r>
        <w:rPr>
          <w:sz w:val="23"/>
          <w:szCs w:val="23"/>
        </w:rPr>
        <w:tab/>
        <w:t>Revenue Bond Approvals (</w:t>
      </w:r>
      <w:r w:rsidR="00365424">
        <w:rPr>
          <w:sz w:val="23"/>
          <w:szCs w:val="23"/>
        </w:rPr>
        <w:t>5 toatl</w:t>
      </w:r>
      <w:r>
        <w:rPr>
          <w:sz w:val="23"/>
          <w:szCs w:val="23"/>
        </w:rPr>
        <w:t>)</w:t>
      </w:r>
    </w:p>
    <w:p w14:paraId="4399A01F" w14:textId="4629879F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Title </w:t>
      </w:r>
      <w:r w:rsidR="002208CC">
        <w:rPr>
          <w:sz w:val="23"/>
          <w:szCs w:val="23"/>
          <w:u w:val="single"/>
        </w:rPr>
        <w:t>8</w:t>
      </w:r>
      <w:r>
        <w:rPr>
          <w:sz w:val="23"/>
          <w:szCs w:val="23"/>
        </w:rPr>
        <w:tab/>
        <w:t>Applicability (March 11, 2020), Fiscal Impact, Effective Date</w:t>
      </w:r>
    </w:p>
    <w:p w14:paraId="4244B1A2" w14:textId="77777777" w:rsidR="00D44BDE" w:rsidRDefault="00D44BDE" w:rsidP="00DD5DC2">
      <w:pPr>
        <w:spacing w:after="160"/>
        <w:ind w:left="2160" w:hanging="2160"/>
        <w:jc w:val="both"/>
        <w:rPr>
          <w:sz w:val="23"/>
          <w:szCs w:val="23"/>
        </w:rPr>
      </w:pPr>
    </w:p>
    <w:sectPr w:rsidR="00D44BDE" w:rsidSect="004B0A16">
      <w:footerReference w:type="default" r:id="rId7"/>
      <w:pgSz w:w="12240" w:h="15840"/>
      <w:pgMar w:top="900" w:right="1440" w:bottom="1350" w:left="1440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43997" w14:textId="77777777" w:rsidR="003D490A" w:rsidRDefault="003D490A" w:rsidP="00F90273">
      <w:r>
        <w:separator/>
      </w:r>
    </w:p>
  </w:endnote>
  <w:endnote w:type="continuationSeparator" w:id="0">
    <w:p w14:paraId="5DDB83C6" w14:textId="77777777" w:rsidR="003D490A" w:rsidRDefault="003D490A" w:rsidP="00F9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B625" w14:textId="201EBF96" w:rsidR="005457F5" w:rsidRDefault="005457F5" w:rsidP="005457F5">
    <w:pPr>
      <w:spacing w:after="160"/>
      <w:ind w:left="2160" w:hanging="2160"/>
      <w:jc w:val="right"/>
      <w:rPr>
        <w:sz w:val="23"/>
        <w:szCs w:val="23"/>
      </w:rPr>
    </w:pPr>
    <w:r>
      <w:rPr>
        <w:sz w:val="23"/>
        <w:szCs w:val="23"/>
      </w:rPr>
      <w:t>* New or substantially changed provisions from previous circulation</w:t>
    </w:r>
  </w:p>
  <w:p w14:paraId="244D5971" w14:textId="77777777" w:rsidR="005457F5" w:rsidRDefault="00545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45A2" w14:textId="77777777" w:rsidR="003D490A" w:rsidRDefault="003D490A" w:rsidP="00F90273">
      <w:r>
        <w:separator/>
      </w:r>
    </w:p>
  </w:footnote>
  <w:footnote w:type="continuationSeparator" w:id="0">
    <w:p w14:paraId="3BA47AF5" w14:textId="77777777" w:rsidR="003D490A" w:rsidRDefault="003D490A" w:rsidP="00F9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914AD"/>
    <w:multiLevelType w:val="hybridMultilevel"/>
    <w:tmpl w:val="B074E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19E9"/>
    <w:multiLevelType w:val="hybridMultilevel"/>
    <w:tmpl w:val="8E2E2462"/>
    <w:lvl w:ilvl="0" w:tplc="2C7E2C8C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070" w:hanging="360"/>
      </w:pPr>
    </w:lvl>
    <w:lvl w:ilvl="2" w:tplc="0409001B" w:tentative="1">
      <w:start w:val="1"/>
      <w:numFmt w:val="lowerRoman"/>
      <w:lvlText w:val="%3."/>
      <w:lvlJc w:val="right"/>
      <w:pPr>
        <w:ind w:left="-1350" w:hanging="180"/>
      </w:pPr>
    </w:lvl>
    <w:lvl w:ilvl="3" w:tplc="0409000F" w:tentative="1">
      <w:start w:val="1"/>
      <w:numFmt w:val="decimal"/>
      <w:lvlText w:val="%4."/>
      <w:lvlJc w:val="left"/>
      <w:pPr>
        <w:ind w:left="-630" w:hanging="360"/>
      </w:pPr>
    </w:lvl>
    <w:lvl w:ilvl="4" w:tplc="04090019" w:tentative="1">
      <w:start w:val="1"/>
      <w:numFmt w:val="lowerLetter"/>
      <w:lvlText w:val="%5."/>
      <w:lvlJc w:val="left"/>
      <w:pPr>
        <w:ind w:left="90" w:hanging="360"/>
      </w:pPr>
    </w:lvl>
    <w:lvl w:ilvl="5" w:tplc="0409001B" w:tentative="1">
      <w:start w:val="1"/>
      <w:numFmt w:val="lowerRoman"/>
      <w:lvlText w:val="%6."/>
      <w:lvlJc w:val="righ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1530" w:hanging="360"/>
      </w:pPr>
    </w:lvl>
    <w:lvl w:ilvl="7" w:tplc="04090019" w:tentative="1">
      <w:start w:val="1"/>
      <w:numFmt w:val="lowerLetter"/>
      <w:lvlText w:val="%8."/>
      <w:lvlJc w:val="left"/>
      <w:pPr>
        <w:ind w:left="2250" w:hanging="360"/>
      </w:pPr>
    </w:lvl>
    <w:lvl w:ilvl="8" w:tplc="0409001B" w:tentative="1">
      <w:start w:val="1"/>
      <w:numFmt w:val="lowerRoman"/>
      <w:lvlText w:val="%9."/>
      <w:lvlJc w:val="right"/>
      <w:pPr>
        <w:ind w:left="2970" w:hanging="180"/>
      </w:pPr>
    </w:lvl>
  </w:abstractNum>
  <w:abstractNum w:abstractNumId="2" w15:restartNumberingAfterBreak="0">
    <w:nsid w:val="69886300"/>
    <w:multiLevelType w:val="hybridMultilevel"/>
    <w:tmpl w:val="7D9E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DB"/>
    <w:rsid w:val="00003C30"/>
    <w:rsid w:val="00107842"/>
    <w:rsid w:val="00160AD3"/>
    <w:rsid w:val="001611EE"/>
    <w:rsid w:val="00192B94"/>
    <w:rsid w:val="001C3119"/>
    <w:rsid w:val="001F68BC"/>
    <w:rsid w:val="002208CC"/>
    <w:rsid w:val="0025575F"/>
    <w:rsid w:val="00281B7D"/>
    <w:rsid w:val="00287E69"/>
    <w:rsid w:val="003157F0"/>
    <w:rsid w:val="00323758"/>
    <w:rsid w:val="00350C1F"/>
    <w:rsid w:val="00365424"/>
    <w:rsid w:val="00381B1B"/>
    <w:rsid w:val="00385257"/>
    <w:rsid w:val="00394E15"/>
    <w:rsid w:val="003D490A"/>
    <w:rsid w:val="00442F8B"/>
    <w:rsid w:val="00447181"/>
    <w:rsid w:val="00494EB0"/>
    <w:rsid w:val="004B0A16"/>
    <w:rsid w:val="004D5DDB"/>
    <w:rsid w:val="00511768"/>
    <w:rsid w:val="005457F5"/>
    <w:rsid w:val="00563641"/>
    <w:rsid w:val="00590033"/>
    <w:rsid w:val="005A0365"/>
    <w:rsid w:val="0064122A"/>
    <w:rsid w:val="0065176D"/>
    <w:rsid w:val="0065511F"/>
    <w:rsid w:val="006A01DF"/>
    <w:rsid w:val="006A49EC"/>
    <w:rsid w:val="006B24E4"/>
    <w:rsid w:val="006B275C"/>
    <w:rsid w:val="00712908"/>
    <w:rsid w:val="00777683"/>
    <w:rsid w:val="008430C5"/>
    <w:rsid w:val="008E34AF"/>
    <w:rsid w:val="009A0431"/>
    <w:rsid w:val="009A120D"/>
    <w:rsid w:val="009E0CFA"/>
    <w:rsid w:val="009F114F"/>
    <w:rsid w:val="00A7790A"/>
    <w:rsid w:val="00AA0A3E"/>
    <w:rsid w:val="00AA4531"/>
    <w:rsid w:val="00AA5B61"/>
    <w:rsid w:val="00B11D29"/>
    <w:rsid w:val="00B61005"/>
    <w:rsid w:val="00B726C8"/>
    <w:rsid w:val="00B875C0"/>
    <w:rsid w:val="00BB156A"/>
    <w:rsid w:val="00C36BC5"/>
    <w:rsid w:val="00C46CCB"/>
    <w:rsid w:val="00C54D2A"/>
    <w:rsid w:val="00CC0502"/>
    <w:rsid w:val="00D00926"/>
    <w:rsid w:val="00D3427E"/>
    <w:rsid w:val="00D44BDE"/>
    <w:rsid w:val="00D55FEA"/>
    <w:rsid w:val="00DA15A6"/>
    <w:rsid w:val="00DA727E"/>
    <w:rsid w:val="00DC455F"/>
    <w:rsid w:val="00DD5DC2"/>
    <w:rsid w:val="00E44D09"/>
    <w:rsid w:val="00ED0597"/>
    <w:rsid w:val="00ED6C57"/>
    <w:rsid w:val="00EF34C9"/>
    <w:rsid w:val="00F001DD"/>
    <w:rsid w:val="00F24A2E"/>
    <w:rsid w:val="00F90273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03D62"/>
  <w15:chartTrackingRefBased/>
  <w15:docId w15:val="{F546BB8A-F563-4E72-8C61-0C0F6C2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4D5DDB"/>
    <w:pPr>
      <w:numPr>
        <w:numId w:val="1"/>
      </w:numPr>
      <w:spacing w:before="0" w:after="240"/>
      <w:jc w:val="center"/>
      <w:outlineLvl w:val="0"/>
    </w:pPr>
    <w:rPr>
      <w:rFonts w:ascii="Constantia" w:hAnsi="Constantia"/>
      <w:b/>
      <w:bCs/>
      <w:caps/>
      <w:color w:val="auto"/>
      <w:spacing w:val="4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F114F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F11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14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4D5DDB"/>
    <w:rPr>
      <w:rFonts w:ascii="Constantia" w:eastAsiaTheme="majorEastAsia" w:hAnsi="Constantia" w:cstheme="majorBidi"/>
      <w:b/>
      <w:bCs/>
      <w:caps/>
      <w:spacing w:val="40"/>
    </w:rPr>
  </w:style>
  <w:style w:type="paragraph" w:customStyle="1" w:styleId="Default">
    <w:name w:val="Default"/>
    <w:rsid w:val="004D5DDB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D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D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Evan W. (Council)</dc:creator>
  <cp:keywords/>
  <dc:description/>
  <cp:lastModifiedBy>Cash, Evan W. (Council)</cp:lastModifiedBy>
  <cp:revision>3</cp:revision>
  <cp:lastPrinted>2020-04-04T18:01:00Z</cp:lastPrinted>
  <dcterms:created xsi:type="dcterms:W3CDTF">2020-04-06T20:14:00Z</dcterms:created>
  <dcterms:modified xsi:type="dcterms:W3CDTF">2020-04-06T20:16:00Z</dcterms:modified>
</cp:coreProperties>
</file>