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1498" w14:textId="7ED5A74E" w:rsidR="003B6738" w:rsidRPr="007474A3" w:rsidRDefault="003B6738" w:rsidP="003B6738">
      <w:pPr>
        <w:rPr>
          <w:szCs w:val="24"/>
        </w:rPr>
      </w:pPr>
      <w:r>
        <w:rPr>
          <w:szCs w:val="24"/>
        </w:rPr>
        <w:t xml:space="preserve">            </w:t>
      </w:r>
      <w:r>
        <w:rPr>
          <w:szCs w:val="24"/>
        </w:rPr>
        <w:tab/>
      </w:r>
      <w:r>
        <w:rPr>
          <w:szCs w:val="24"/>
        </w:rPr>
        <w:tab/>
      </w:r>
      <w:bookmarkStart w:id="0" w:name="_GoBack"/>
      <w:bookmarkEnd w:id="0"/>
      <w:r>
        <w:rPr>
          <w:szCs w:val="24"/>
        </w:rPr>
        <w:tab/>
      </w:r>
      <w:r>
        <w:rPr>
          <w:szCs w:val="24"/>
        </w:rPr>
        <w:tab/>
      </w:r>
      <w:r>
        <w:rPr>
          <w:szCs w:val="24"/>
        </w:rPr>
        <w:tab/>
      </w:r>
      <w:r>
        <w:rPr>
          <w:szCs w:val="24"/>
        </w:rPr>
        <w:tab/>
      </w:r>
      <w:r>
        <w:rPr>
          <w:szCs w:val="24"/>
        </w:rPr>
        <w:tab/>
      </w:r>
      <w:r w:rsidRPr="007474A3">
        <w:rPr>
          <w:szCs w:val="24"/>
        </w:rPr>
        <w:t>________________________</w:t>
      </w:r>
    </w:p>
    <w:p w14:paraId="52A0B09B" w14:textId="77777777" w:rsidR="003B6738" w:rsidRPr="007474A3" w:rsidRDefault="003B6738" w:rsidP="003B6738">
      <w:pPr>
        <w:rPr>
          <w:szCs w:val="24"/>
        </w:rPr>
      </w:pPr>
      <w:r w:rsidRPr="007474A3">
        <w:rPr>
          <w:szCs w:val="24"/>
        </w:rPr>
        <w:tab/>
      </w:r>
      <w:r w:rsidRPr="007474A3">
        <w:rPr>
          <w:szCs w:val="24"/>
        </w:rPr>
        <w:tab/>
      </w:r>
      <w:r w:rsidRPr="007474A3">
        <w:rPr>
          <w:szCs w:val="24"/>
        </w:rPr>
        <w:tab/>
      </w:r>
      <w:r w:rsidRPr="007474A3">
        <w:rPr>
          <w:szCs w:val="24"/>
        </w:rPr>
        <w:tab/>
        <w:t xml:space="preserve">         </w:t>
      </w:r>
      <w:r w:rsidRPr="007474A3">
        <w:rPr>
          <w:szCs w:val="24"/>
        </w:rPr>
        <w:tab/>
      </w:r>
      <w:r w:rsidRPr="007474A3">
        <w:rPr>
          <w:szCs w:val="24"/>
        </w:rPr>
        <w:tab/>
      </w:r>
      <w:r w:rsidRPr="007474A3">
        <w:rPr>
          <w:szCs w:val="24"/>
        </w:rPr>
        <w:tab/>
      </w:r>
      <w:r w:rsidRPr="007474A3">
        <w:rPr>
          <w:szCs w:val="24"/>
        </w:rPr>
        <w:tab/>
        <w:t>Chairman Phil Mendelson</w:t>
      </w:r>
    </w:p>
    <w:p w14:paraId="79A41CA6" w14:textId="77777777" w:rsidR="003B6738" w:rsidRPr="007474A3" w:rsidRDefault="003B6738" w:rsidP="003B6738">
      <w:pPr>
        <w:rPr>
          <w:szCs w:val="24"/>
        </w:rPr>
      </w:pPr>
    </w:p>
    <w:p w14:paraId="73B1AF11" w14:textId="77777777" w:rsidR="003B6738" w:rsidRDefault="003B6738" w:rsidP="002F4556">
      <w:pPr>
        <w:jc w:val="center"/>
        <w:rPr>
          <w:szCs w:val="24"/>
        </w:rPr>
      </w:pPr>
    </w:p>
    <w:p w14:paraId="0C4DFA3D" w14:textId="77777777" w:rsidR="003B6738" w:rsidRPr="007474A3" w:rsidRDefault="003B6738" w:rsidP="003B6738">
      <w:pPr>
        <w:jc w:val="center"/>
        <w:rPr>
          <w:szCs w:val="24"/>
        </w:rPr>
      </w:pPr>
      <w:r w:rsidRPr="007474A3">
        <w:rPr>
          <w:szCs w:val="24"/>
        </w:rPr>
        <w:t>A BILL</w:t>
      </w:r>
    </w:p>
    <w:p w14:paraId="7138C121" w14:textId="77777777" w:rsidR="000C2DDD" w:rsidRPr="007474A3" w:rsidRDefault="000C2DDD" w:rsidP="002F4556">
      <w:pPr>
        <w:jc w:val="center"/>
        <w:rPr>
          <w:szCs w:val="24"/>
        </w:rPr>
      </w:pPr>
    </w:p>
    <w:p w14:paraId="295613FD" w14:textId="77777777" w:rsidR="000C2DDD" w:rsidRPr="007474A3" w:rsidRDefault="000C2DDD" w:rsidP="002F4556">
      <w:pPr>
        <w:jc w:val="center"/>
        <w:rPr>
          <w:szCs w:val="24"/>
        </w:rPr>
      </w:pPr>
      <w:r w:rsidRPr="007474A3">
        <w:rPr>
          <w:szCs w:val="24"/>
        </w:rPr>
        <w:t>________</w:t>
      </w:r>
    </w:p>
    <w:p w14:paraId="66499445" w14:textId="77777777" w:rsidR="000C2DDD" w:rsidRPr="007474A3" w:rsidRDefault="000C2DDD" w:rsidP="002F4556">
      <w:pPr>
        <w:jc w:val="center"/>
        <w:rPr>
          <w:szCs w:val="24"/>
        </w:rPr>
      </w:pPr>
    </w:p>
    <w:p w14:paraId="2FCA0039" w14:textId="77777777" w:rsidR="000C2DDD" w:rsidRPr="007474A3" w:rsidRDefault="000C2DDD" w:rsidP="002F4556">
      <w:pPr>
        <w:jc w:val="center"/>
        <w:rPr>
          <w:szCs w:val="24"/>
        </w:rPr>
      </w:pPr>
    </w:p>
    <w:p w14:paraId="7377466C" w14:textId="77777777" w:rsidR="000C2DDD" w:rsidRPr="007474A3" w:rsidRDefault="000C2DDD" w:rsidP="002F4556">
      <w:pPr>
        <w:jc w:val="center"/>
        <w:rPr>
          <w:szCs w:val="24"/>
        </w:rPr>
      </w:pPr>
      <w:r w:rsidRPr="007474A3">
        <w:rPr>
          <w:szCs w:val="24"/>
        </w:rPr>
        <w:t>IN THE COUNCIL OF THE DISTRICT OF COLUMBIA</w:t>
      </w:r>
    </w:p>
    <w:p w14:paraId="41D59485" w14:textId="77777777" w:rsidR="000C2DDD" w:rsidRPr="007474A3" w:rsidRDefault="000C2DDD" w:rsidP="002F4556">
      <w:pPr>
        <w:jc w:val="center"/>
        <w:rPr>
          <w:szCs w:val="24"/>
        </w:rPr>
      </w:pPr>
    </w:p>
    <w:p w14:paraId="39AF92C0" w14:textId="77777777" w:rsidR="000C2DDD" w:rsidRPr="007474A3" w:rsidRDefault="000C2DDD" w:rsidP="002F4556">
      <w:pPr>
        <w:jc w:val="center"/>
        <w:rPr>
          <w:szCs w:val="24"/>
        </w:rPr>
      </w:pPr>
      <w:r w:rsidRPr="007474A3">
        <w:rPr>
          <w:szCs w:val="24"/>
        </w:rPr>
        <w:t>________________</w:t>
      </w:r>
    </w:p>
    <w:p w14:paraId="1F9DA0D3" w14:textId="77777777" w:rsidR="000C2DDD" w:rsidRPr="007474A3" w:rsidRDefault="000C2DDD" w:rsidP="002F4556">
      <w:pPr>
        <w:rPr>
          <w:szCs w:val="24"/>
        </w:rPr>
      </w:pPr>
    </w:p>
    <w:p w14:paraId="7D2F86A8" w14:textId="77777777" w:rsidR="000C2DDD" w:rsidRPr="007474A3" w:rsidRDefault="000C2DDD" w:rsidP="002F4556">
      <w:pPr>
        <w:rPr>
          <w:szCs w:val="24"/>
        </w:rPr>
      </w:pPr>
    </w:p>
    <w:p w14:paraId="234DCA3A" w14:textId="768BDD2A" w:rsidR="000C2DDD" w:rsidRPr="007474A3" w:rsidRDefault="000C2DDD" w:rsidP="002F4556">
      <w:pPr>
        <w:pStyle w:val="BodyText"/>
        <w:ind w:left="720" w:hanging="720"/>
        <w:rPr>
          <w:szCs w:val="24"/>
        </w:rPr>
      </w:pPr>
      <w:r w:rsidRPr="007474A3">
        <w:rPr>
          <w:szCs w:val="24"/>
        </w:rPr>
        <w:t>To amend</w:t>
      </w:r>
      <w:r w:rsidR="00AD5301">
        <w:rPr>
          <w:szCs w:val="24"/>
        </w:rPr>
        <w:t>, on an emergency basis,</w:t>
      </w:r>
      <w:r>
        <w:rPr>
          <w:szCs w:val="24"/>
        </w:rPr>
        <w:t xml:space="preserve"> </w:t>
      </w:r>
      <w:r w:rsidRPr="0083564A">
        <w:rPr>
          <w:szCs w:val="24"/>
        </w:rPr>
        <w:t>the Fiscal Year 20</w:t>
      </w:r>
      <w:r w:rsidR="00EA1EF2" w:rsidRPr="0083564A">
        <w:rPr>
          <w:szCs w:val="24"/>
        </w:rPr>
        <w:t>2</w:t>
      </w:r>
      <w:r w:rsidR="00176762" w:rsidRPr="0083564A">
        <w:rPr>
          <w:szCs w:val="24"/>
        </w:rPr>
        <w:t>1</w:t>
      </w:r>
      <w:r w:rsidRPr="0083564A">
        <w:rPr>
          <w:szCs w:val="24"/>
        </w:rPr>
        <w:t xml:space="preserve"> Budget Support Act of 20</w:t>
      </w:r>
      <w:r w:rsidR="00176762" w:rsidRPr="0083564A">
        <w:rPr>
          <w:szCs w:val="24"/>
        </w:rPr>
        <w:t>20</w:t>
      </w:r>
      <w:r w:rsidR="00904639" w:rsidRPr="0083564A">
        <w:rPr>
          <w:szCs w:val="24"/>
        </w:rPr>
        <w:t>,</w:t>
      </w:r>
      <w:r w:rsidRPr="0083564A">
        <w:rPr>
          <w:szCs w:val="24"/>
        </w:rPr>
        <w:t xml:space="preserve"> </w:t>
      </w:r>
      <w:r w:rsidR="00BF281A">
        <w:rPr>
          <w:szCs w:val="24"/>
        </w:rPr>
        <w:t xml:space="preserve">the </w:t>
      </w:r>
      <w:r w:rsidR="00BF281A" w:rsidRPr="00DA06BB">
        <w:rPr>
          <w:rFonts w:eastAsia="Calibri"/>
        </w:rPr>
        <w:t>Washington Convention Center Authority Act of 1994</w:t>
      </w:r>
      <w:r w:rsidR="00BF281A">
        <w:rPr>
          <w:rFonts w:eastAsia="Calibri"/>
        </w:rPr>
        <w:t xml:space="preserve">, </w:t>
      </w:r>
      <w:r w:rsidR="00904639" w:rsidRPr="0083564A">
        <w:rPr>
          <w:szCs w:val="24"/>
        </w:rPr>
        <w:t>Title 47 of the D.C. Official Code</w:t>
      </w:r>
      <w:r w:rsidR="00904639">
        <w:rPr>
          <w:szCs w:val="24"/>
        </w:rPr>
        <w:t xml:space="preserve">, </w:t>
      </w:r>
      <w:r w:rsidR="00E24F90" w:rsidRPr="00E7723A">
        <w:rPr>
          <w:szCs w:val="24"/>
        </w:rPr>
        <w:t>the District of Columbia Traffic Act</w:t>
      </w:r>
      <w:r w:rsidR="00E24F90">
        <w:rPr>
          <w:szCs w:val="24"/>
        </w:rPr>
        <w:t>,</w:t>
      </w:r>
      <w:r w:rsidR="00E24F90" w:rsidRPr="0083564A">
        <w:rPr>
          <w:szCs w:val="24"/>
        </w:rPr>
        <w:t xml:space="preserve"> </w:t>
      </w:r>
      <w:r w:rsidR="00E24F90">
        <w:rPr>
          <w:szCs w:val="24"/>
        </w:rPr>
        <w:t xml:space="preserve">1925, </w:t>
      </w:r>
      <w:r w:rsidR="005B06D7">
        <w:rPr>
          <w:szCs w:val="24"/>
        </w:rPr>
        <w:t xml:space="preserve">the </w:t>
      </w:r>
      <w:r w:rsidR="005B06D7" w:rsidRPr="0083564A">
        <w:rPr>
          <w:szCs w:val="24"/>
        </w:rPr>
        <w:t xml:space="preserve">Fiscal Year 2021 Budget Support </w:t>
      </w:r>
      <w:r w:rsidR="005B06D7">
        <w:rPr>
          <w:szCs w:val="24"/>
        </w:rPr>
        <w:t xml:space="preserve">Congressional Review Emergency Amendment </w:t>
      </w:r>
      <w:r w:rsidR="005B06D7" w:rsidRPr="0083564A">
        <w:rPr>
          <w:szCs w:val="24"/>
        </w:rPr>
        <w:t xml:space="preserve">Act of 2020, </w:t>
      </w:r>
      <w:r w:rsidR="005B06D7">
        <w:rPr>
          <w:szCs w:val="24"/>
        </w:rPr>
        <w:t xml:space="preserve">and the Fiscal Year 2021 Budget Support Clarification Temporary Amendment Act of 2020 </w:t>
      </w:r>
      <w:r>
        <w:rPr>
          <w:szCs w:val="24"/>
        </w:rPr>
        <w:t>to clarify provisions supporting the Fiscal Year 20</w:t>
      </w:r>
      <w:r w:rsidR="00EA1EF2">
        <w:rPr>
          <w:szCs w:val="24"/>
        </w:rPr>
        <w:t>2</w:t>
      </w:r>
      <w:r w:rsidR="00176762">
        <w:rPr>
          <w:szCs w:val="24"/>
        </w:rPr>
        <w:t>1</w:t>
      </w:r>
      <w:r>
        <w:rPr>
          <w:szCs w:val="24"/>
        </w:rPr>
        <w:t xml:space="preserve"> budget</w:t>
      </w:r>
      <w:r w:rsidR="00E24F90">
        <w:rPr>
          <w:szCs w:val="24"/>
        </w:rPr>
        <w:t>; and to authorize the Chief Financial Officer to impose a fee or processing cost related to a payment made by credit card or other electronic payment method</w:t>
      </w:r>
      <w:r>
        <w:rPr>
          <w:szCs w:val="24"/>
        </w:rPr>
        <w:t>.</w:t>
      </w:r>
    </w:p>
    <w:p w14:paraId="7A53DBD3" w14:textId="77777777" w:rsidR="000C2DDD" w:rsidRPr="007474A3" w:rsidRDefault="000C2DDD" w:rsidP="002F4556">
      <w:pPr>
        <w:pStyle w:val="BodyText"/>
        <w:spacing w:after="0"/>
        <w:ind w:left="720" w:hanging="720"/>
        <w:rPr>
          <w:szCs w:val="24"/>
        </w:rPr>
      </w:pPr>
    </w:p>
    <w:p w14:paraId="7E2515CD" w14:textId="731FD2B2" w:rsidR="000C2DDD" w:rsidRDefault="000C2DDD" w:rsidP="003B6738">
      <w:pPr>
        <w:spacing w:line="480" w:lineRule="auto"/>
        <w:rPr>
          <w:szCs w:val="24"/>
        </w:rPr>
      </w:pPr>
      <w:r w:rsidRPr="00FF0B40">
        <w:rPr>
          <w:szCs w:val="24"/>
        </w:rPr>
        <w:tab/>
        <w:t>BE IT ENACTED BY THE COUNCIL OF THE DISTRICT OF COLUMBIA, That this act may be cited as the “Fiscal Year 20</w:t>
      </w:r>
      <w:r w:rsidR="00EA1EF2" w:rsidRPr="00FF0B40">
        <w:rPr>
          <w:szCs w:val="24"/>
        </w:rPr>
        <w:t>2</w:t>
      </w:r>
      <w:r w:rsidR="00176762">
        <w:rPr>
          <w:szCs w:val="24"/>
        </w:rPr>
        <w:t>1</w:t>
      </w:r>
      <w:r w:rsidRPr="00FF0B40">
        <w:rPr>
          <w:szCs w:val="24"/>
        </w:rPr>
        <w:t xml:space="preserve"> Budget Support Clarification </w:t>
      </w:r>
      <w:r w:rsidR="005B06D7">
        <w:rPr>
          <w:szCs w:val="24"/>
        </w:rPr>
        <w:t xml:space="preserve">Congressional Review </w:t>
      </w:r>
      <w:r w:rsidR="00210A38">
        <w:rPr>
          <w:szCs w:val="24"/>
        </w:rPr>
        <w:t xml:space="preserve">Emergency </w:t>
      </w:r>
      <w:r w:rsidRPr="00FF0B40">
        <w:rPr>
          <w:szCs w:val="24"/>
        </w:rPr>
        <w:t>Amendment Act of 20</w:t>
      </w:r>
      <w:r w:rsidR="00176762">
        <w:rPr>
          <w:szCs w:val="24"/>
        </w:rPr>
        <w:t>20</w:t>
      </w:r>
      <w:r w:rsidRPr="00FF0B40">
        <w:rPr>
          <w:szCs w:val="24"/>
        </w:rPr>
        <w:t>”.</w:t>
      </w:r>
    </w:p>
    <w:p w14:paraId="7DE2D68F" w14:textId="6B7B2F84" w:rsidR="00F73ECE" w:rsidRDefault="00F73ECE" w:rsidP="003B6738">
      <w:pPr>
        <w:spacing w:line="480" w:lineRule="auto"/>
        <w:ind w:firstLine="720"/>
        <w:rPr>
          <w:szCs w:val="24"/>
        </w:rPr>
      </w:pPr>
      <w:bookmarkStart w:id="1" w:name="_Hlk50984849"/>
      <w:r>
        <w:rPr>
          <w:szCs w:val="24"/>
        </w:rPr>
        <w:t xml:space="preserve">Sec. </w:t>
      </w:r>
      <w:r w:rsidR="0083564A">
        <w:rPr>
          <w:szCs w:val="24"/>
        </w:rPr>
        <w:t>2</w:t>
      </w:r>
      <w:r>
        <w:rPr>
          <w:szCs w:val="24"/>
        </w:rPr>
        <w:t xml:space="preserve">. </w:t>
      </w:r>
      <w:r w:rsidR="0083564A">
        <w:rPr>
          <w:szCs w:val="24"/>
        </w:rPr>
        <w:t xml:space="preserve">The Fiscal Year 2021 Budget Support Act of 2020, enacted </w:t>
      </w:r>
      <w:r w:rsidR="00BD72C8">
        <w:rPr>
          <w:szCs w:val="24"/>
        </w:rPr>
        <w:t xml:space="preserve">on </w:t>
      </w:r>
      <w:r w:rsidR="0083564A">
        <w:rPr>
          <w:szCs w:val="24"/>
        </w:rPr>
        <w:t>August 31, 2020 (D.C. Act 23-407; 67 DCR 10493)</w:t>
      </w:r>
      <w:r w:rsidR="00BD72C8">
        <w:rPr>
          <w:szCs w:val="24"/>
        </w:rPr>
        <w:t>,</w:t>
      </w:r>
      <w:r w:rsidR="0083564A">
        <w:rPr>
          <w:szCs w:val="24"/>
        </w:rPr>
        <w:t xml:space="preserve"> is amended as follows:</w:t>
      </w:r>
    </w:p>
    <w:p w14:paraId="1F042B8A" w14:textId="44CB8861" w:rsidR="00D01955" w:rsidRDefault="0083564A" w:rsidP="003B6738">
      <w:pPr>
        <w:spacing w:line="480" w:lineRule="auto"/>
        <w:ind w:firstLine="720"/>
        <w:rPr>
          <w:szCs w:val="24"/>
        </w:rPr>
      </w:pPr>
      <w:r>
        <w:rPr>
          <w:szCs w:val="24"/>
        </w:rPr>
        <w:t xml:space="preserve">(a) </w:t>
      </w:r>
      <w:r w:rsidR="00D01955">
        <w:rPr>
          <w:szCs w:val="24"/>
        </w:rPr>
        <w:t>Section 2192 is amended as follows:</w:t>
      </w:r>
    </w:p>
    <w:p w14:paraId="72C264D8" w14:textId="1883A2D4" w:rsidR="00D01955" w:rsidRDefault="00D01955" w:rsidP="003B6738">
      <w:pPr>
        <w:spacing w:line="480" w:lineRule="auto"/>
        <w:ind w:firstLine="720"/>
        <w:rPr>
          <w:szCs w:val="24"/>
        </w:rPr>
      </w:pPr>
      <w:r>
        <w:rPr>
          <w:szCs w:val="24"/>
        </w:rPr>
        <w:tab/>
        <w:t xml:space="preserve">(1) Subsection </w:t>
      </w:r>
      <w:r w:rsidR="000D5471">
        <w:rPr>
          <w:szCs w:val="24"/>
        </w:rPr>
        <w:t xml:space="preserve">(a) is amended </w:t>
      </w:r>
      <w:r w:rsidR="001164CA">
        <w:rPr>
          <w:szCs w:val="24"/>
        </w:rPr>
        <w:t xml:space="preserve">to read </w:t>
      </w:r>
      <w:r w:rsidR="000D5471">
        <w:rPr>
          <w:szCs w:val="24"/>
        </w:rPr>
        <w:t>as follows</w:t>
      </w:r>
      <w:r w:rsidR="001164CA">
        <w:rPr>
          <w:szCs w:val="24"/>
        </w:rPr>
        <w:t>:</w:t>
      </w:r>
    </w:p>
    <w:p w14:paraId="09D240AD" w14:textId="086549D1" w:rsidR="001164CA" w:rsidRDefault="001164CA" w:rsidP="003B6738">
      <w:pPr>
        <w:spacing w:line="480" w:lineRule="auto"/>
        <w:ind w:firstLine="720"/>
        <w:rPr>
          <w:bCs/>
          <w:szCs w:val="24"/>
        </w:rPr>
      </w:pPr>
      <w:r>
        <w:rPr>
          <w:szCs w:val="24"/>
        </w:rPr>
        <w:t>“(</w:t>
      </w:r>
      <w:r w:rsidRPr="008420F6">
        <w:rPr>
          <w:bCs/>
          <w:szCs w:val="24"/>
        </w:rPr>
        <w:t>a)</w:t>
      </w:r>
      <w:r>
        <w:rPr>
          <w:bCs/>
          <w:szCs w:val="24"/>
        </w:rPr>
        <w:t xml:space="preserve">(1) Capital project DHA21C (“DHA21C”) shall be administered by the Office of the Chief Financial Officer (“OCFO”), with </w:t>
      </w:r>
      <w:r w:rsidRPr="00733A7D">
        <w:rPr>
          <w:szCs w:val="24"/>
        </w:rPr>
        <w:t xml:space="preserve">available project allotments </w:t>
      </w:r>
      <w:r>
        <w:rPr>
          <w:szCs w:val="24"/>
        </w:rPr>
        <w:t xml:space="preserve">advanced </w:t>
      </w:r>
      <w:r w:rsidRPr="00733A7D">
        <w:rPr>
          <w:szCs w:val="24"/>
        </w:rPr>
        <w:t xml:space="preserve">to the </w:t>
      </w:r>
      <w:r w:rsidR="00167801">
        <w:rPr>
          <w:szCs w:val="24"/>
        </w:rPr>
        <w:t xml:space="preserve">District of Columbia Housing </w:t>
      </w:r>
      <w:r w:rsidRPr="00733A7D">
        <w:rPr>
          <w:szCs w:val="24"/>
        </w:rPr>
        <w:t xml:space="preserve">Authority </w:t>
      </w:r>
      <w:r w:rsidR="00167801">
        <w:rPr>
          <w:szCs w:val="24"/>
        </w:rPr>
        <w:t xml:space="preserve">(“Authority”) </w:t>
      </w:r>
      <w:r w:rsidRPr="00733A7D">
        <w:rPr>
          <w:szCs w:val="24"/>
        </w:rPr>
        <w:t>on a quarterly basis</w:t>
      </w:r>
      <w:r>
        <w:rPr>
          <w:szCs w:val="24"/>
        </w:rPr>
        <w:t xml:space="preserve"> </w:t>
      </w:r>
      <w:r w:rsidRPr="00733A7D">
        <w:rPr>
          <w:szCs w:val="24"/>
        </w:rPr>
        <w:t xml:space="preserve">for the encumbrances and </w:t>
      </w:r>
      <w:r w:rsidRPr="00733A7D">
        <w:rPr>
          <w:szCs w:val="24"/>
        </w:rPr>
        <w:lastRenderedPageBreak/>
        <w:t>expenditures planned for that quarter</w:t>
      </w:r>
      <w:r>
        <w:rPr>
          <w:szCs w:val="24"/>
        </w:rPr>
        <w:t xml:space="preserve">; provided, that the requirements of subsection (b) of this section are met. </w:t>
      </w:r>
      <w:r w:rsidRPr="00733A7D">
        <w:rPr>
          <w:szCs w:val="24"/>
        </w:rPr>
        <w:t xml:space="preserve">  </w:t>
      </w:r>
    </w:p>
    <w:p w14:paraId="698DD480" w14:textId="6E03420A" w:rsidR="00206D8F" w:rsidRDefault="001164CA" w:rsidP="003B6738">
      <w:pPr>
        <w:spacing w:line="480" w:lineRule="auto"/>
        <w:ind w:firstLine="1440"/>
        <w:rPr>
          <w:szCs w:val="24"/>
        </w:rPr>
      </w:pPr>
      <w:bookmarkStart w:id="2" w:name="_Hlk51230649"/>
      <w:r>
        <w:rPr>
          <w:bCs/>
          <w:szCs w:val="24"/>
        </w:rPr>
        <w:t xml:space="preserve">“(2) </w:t>
      </w:r>
      <w:bookmarkStart w:id="3" w:name="_Hlk51230985"/>
      <w:r>
        <w:rPr>
          <w:bCs/>
          <w:szCs w:val="24"/>
        </w:rPr>
        <w:t xml:space="preserve">DHA21C </w:t>
      </w:r>
      <w:r w:rsidR="00167801">
        <w:rPr>
          <w:bCs/>
          <w:szCs w:val="24"/>
        </w:rPr>
        <w:t xml:space="preserve">funds </w:t>
      </w:r>
      <w:r>
        <w:rPr>
          <w:bCs/>
          <w:szCs w:val="24"/>
        </w:rPr>
        <w:t xml:space="preserve">shall be used by the Authority to fund capital-eligible construction, renovation, </w:t>
      </w:r>
      <w:r w:rsidR="00206D8F">
        <w:rPr>
          <w:bCs/>
          <w:szCs w:val="24"/>
        </w:rPr>
        <w:t xml:space="preserve">or </w:t>
      </w:r>
      <w:r>
        <w:rPr>
          <w:bCs/>
          <w:szCs w:val="24"/>
        </w:rPr>
        <w:t xml:space="preserve">rehabilitation subprojects </w:t>
      </w:r>
      <w:r w:rsidRPr="00733A7D">
        <w:rPr>
          <w:szCs w:val="24"/>
        </w:rPr>
        <w:t>that</w:t>
      </w:r>
      <w:r w:rsidR="00206D8F">
        <w:rPr>
          <w:szCs w:val="24"/>
        </w:rPr>
        <w:t>:</w:t>
      </w:r>
      <w:r w:rsidRPr="00733A7D">
        <w:rPr>
          <w:szCs w:val="24"/>
        </w:rPr>
        <w:t xml:space="preserve"> </w:t>
      </w:r>
    </w:p>
    <w:p w14:paraId="7D8E918E" w14:textId="77777777" w:rsidR="00206D8F" w:rsidRDefault="00206D8F" w:rsidP="003B6738">
      <w:pPr>
        <w:spacing w:line="480" w:lineRule="auto"/>
        <w:ind w:left="720" w:firstLine="1440"/>
        <w:rPr>
          <w:szCs w:val="24"/>
        </w:rPr>
      </w:pPr>
      <w:r>
        <w:rPr>
          <w:szCs w:val="24"/>
        </w:rPr>
        <w:t>“(A) I</w:t>
      </w:r>
      <w:r w:rsidR="00B637A2">
        <w:rPr>
          <w:szCs w:val="24"/>
        </w:rPr>
        <w:t>ncrease the longevity of public housing units</w:t>
      </w:r>
      <w:r>
        <w:rPr>
          <w:szCs w:val="24"/>
        </w:rPr>
        <w:t>;</w:t>
      </w:r>
      <w:r w:rsidR="00B637A2">
        <w:rPr>
          <w:szCs w:val="24"/>
        </w:rPr>
        <w:t xml:space="preserve"> </w:t>
      </w:r>
    </w:p>
    <w:p w14:paraId="57603A7B" w14:textId="0E097A37" w:rsidR="00206D8F" w:rsidRDefault="00206D8F" w:rsidP="003B6738">
      <w:pPr>
        <w:spacing w:line="480" w:lineRule="auto"/>
        <w:ind w:left="720" w:firstLine="1440"/>
        <w:rPr>
          <w:szCs w:val="24"/>
        </w:rPr>
      </w:pPr>
      <w:r>
        <w:rPr>
          <w:szCs w:val="24"/>
        </w:rPr>
        <w:t>“(B) P</w:t>
      </w:r>
      <w:r w:rsidR="001164CA" w:rsidRPr="00733A7D">
        <w:rPr>
          <w:szCs w:val="24"/>
        </w:rPr>
        <w:t xml:space="preserve">revent existing </w:t>
      </w:r>
      <w:r w:rsidR="001164CA">
        <w:rPr>
          <w:szCs w:val="24"/>
        </w:rPr>
        <w:t xml:space="preserve">tenants </w:t>
      </w:r>
      <w:r w:rsidR="001164CA" w:rsidRPr="00733A7D">
        <w:rPr>
          <w:szCs w:val="24"/>
        </w:rPr>
        <w:t>from being displaced</w:t>
      </w:r>
      <w:r>
        <w:rPr>
          <w:szCs w:val="24"/>
        </w:rPr>
        <w:t>;</w:t>
      </w:r>
      <w:r w:rsidR="001164CA" w:rsidRPr="00733A7D">
        <w:rPr>
          <w:szCs w:val="24"/>
        </w:rPr>
        <w:t xml:space="preserve"> </w:t>
      </w:r>
      <w:r w:rsidR="001164CA">
        <w:rPr>
          <w:szCs w:val="24"/>
        </w:rPr>
        <w:t xml:space="preserve">or </w:t>
      </w:r>
    </w:p>
    <w:p w14:paraId="6207D96E" w14:textId="79538EEA" w:rsidR="001164CA" w:rsidRDefault="00206D8F" w:rsidP="003B6738">
      <w:pPr>
        <w:spacing w:line="480" w:lineRule="auto"/>
        <w:ind w:firstLine="2160"/>
        <w:rPr>
          <w:bCs/>
          <w:szCs w:val="24"/>
        </w:rPr>
      </w:pPr>
      <w:r>
        <w:rPr>
          <w:szCs w:val="24"/>
        </w:rPr>
        <w:t>“(C) I</w:t>
      </w:r>
      <w:r w:rsidR="001164CA" w:rsidRPr="00733A7D">
        <w:rPr>
          <w:szCs w:val="24"/>
        </w:rPr>
        <w:t>ncrease the availability of public housing units for existing District of Columbia residents listed on the Authority's waitlist.</w:t>
      </w:r>
      <w:r w:rsidR="001164CA">
        <w:rPr>
          <w:bCs/>
          <w:szCs w:val="24"/>
        </w:rPr>
        <w:t xml:space="preserve"> </w:t>
      </w:r>
    </w:p>
    <w:bookmarkEnd w:id="2"/>
    <w:bookmarkEnd w:id="3"/>
    <w:p w14:paraId="622D2DB8" w14:textId="10A66351" w:rsidR="001164CA" w:rsidRPr="00733A7D" w:rsidRDefault="001164CA" w:rsidP="003B6738">
      <w:pPr>
        <w:spacing w:line="480" w:lineRule="auto"/>
        <w:rPr>
          <w:szCs w:val="24"/>
        </w:rPr>
      </w:pPr>
      <w:r>
        <w:rPr>
          <w:bCs/>
          <w:szCs w:val="24"/>
        </w:rPr>
        <w:tab/>
      </w:r>
      <w:r>
        <w:rPr>
          <w:bCs/>
          <w:szCs w:val="24"/>
        </w:rPr>
        <w:tab/>
      </w:r>
      <w:r w:rsidR="00D43F0F">
        <w:rPr>
          <w:bCs/>
          <w:szCs w:val="24"/>
        </w:rPr>
        <w:t>“</w:t>
      </w:r>
      <w:r>
        <w:rPr>
          <w:bCs/>
          <w:szCs w:val="24"/>
        </w:rPr>
        <w:t xml:space="preserve">(3) DHA21C </w:t>
      </w:r>
      <w:r w:rsidR="00167801">
        <w:rPr>
          <w:bCs/>
          <w:szCs w:val="24"/>
        </w:rPr>
        <w:t xml:space="preserve">funds </w:t>
      </w:r>
      <w:r>
        <w:rPr>
          <w:bCs/>
          <w:szCs w:val="24"/>
        </w:rPr>
        <w:t>shall not be used to fund the Authority’s operating costs, renovation</w:t>
      </w:r>
      <w:r w:rsidR="00885B1A">
        <w:rPr>
          <w:bCs/>
          <w:szCs w:val="24"/>
        </w:rPr>
        <w:t>,</w:t>
      </w:r>
      <w:r>
        <w:rPr>
          <w:bCs/>
          <w:szCs w:val="24"/>
        </w:rPr>
        <w:t xml:space="preserve"> or rehabilitation of any unit set to be demolished, sold, or otherwise removed from the Authority inventory, or any administrative or overhead costs not specifically attributable to a subproject.”.</w:t>
      </w:r>
    </w:p>
    <w:p w14:paraId="11E6D835" w14:textId="14499A7B" w:rsidR="001164CA" w:rsidRDefault="001164CA" w:rsidP="003B6738">
      <w:pPr>
        <w:spacing w:line="480" w:lineRule="auto"/>
        <w:ind w:firstLine="720"/>
        <w:rPr>
          <w:szCs w:val="24"/>
        </w:rPr>
      </w:pPr>
      <w:r>
        <w:rPr>
          <w:szCs w:val="24"/>
        </w:rPr>
        <w:tab/>
        <w:t>(2) Subsection (b) is amended to read as follows:</w:t>
      </w:r>
    </w:p>
    <w:p w14:paraId="54C1E438" w14:textId="02D66E0E" w:rsidR="001164CA" w:rsidRDefault="001164CA" w:rsidP="003B6738">
      <w:pPr>
        <w:widowControl w:val="0"/>
        <w:autoSpaceDE w:val="0"/>
        <w:autoSpaceDN w:val="0"/>
        <w:adjustRightInd w:val="0"/>
        <w:spacing w:line="480" w:lineRule="auto"/>
        <w:ind w:firstLine="720"/>
        <w:rPr>
          <w:szCs w:val="24"/>
        </w:rPr>
      </w:pPr>
      <w:r>
        <w:rPr>
          <w:bCs/>
          <w:szCs w:val="24"/>
        </w:rPr>
        <w:t>“</w:t>
      </w:r>
      <w:r w:rsidRPr="008420F6">
        <w:rPr>
          <w:bCs/>
          <w:szCs w:val="24"/>
        </w:rPr>
        <w:t>(b)</w:t>
      </w:r>
      <w:r>
        <w:rPr>
          <w:bCs/>
          <w:szCs w:val="24"/>
        </w:rPr>
        <w:t>(1) E</w:t>
      </w:r>
      <w:r w:rsidRPr="00733A7D">
        <w:rPr>
          <w:szCs w:val="24"/>
        </w:rPr>
        <w:t xml:space="preserve">ach fiscal year </w:t>
      </w:r>
      <w:r>
        <w:rPr>
          <w:szCs w:val="24"/>
        </w:rPr>
        <w:t xml:space="preserve">that DHA21C funds are available, </w:t>
      </w:r>
      <w:r w:rsidRPr="00733A7D">
        <w:rPr>
          <w:szCs w:val="24"/>
        </w:rPr>
        <w:t>the Authority shall submit to the Mayor</w:t>
      </w:r>
      <w:r>
        <w:rPr>
          <w:szCs w:val="24"/>
        </w:rPr>
        <w:t>, the Council, and the OCFO</w:t>
      </w:r>
      <w:r w:rsidRPr="00733A7D">
        <w:rPr>
          <w:szCs w:val="24"/>
        </w:rPr>
        <w:t xml:space="preserve"> a proposed spending plan</w:t>
      </w:r>
      <w:r>
        <w:rPr>
          <w:szCs w:val="24"/>
        </w:rPr>
        <w:t xml:space="preserve">, which shall include: </w:t>
      </w:r>
    </w:p>
    <w:p w14:paraId="2D5D11F6" w14:textId="504579B7" w:rsidR="001164CA" w:rsidRDefault="001164CA" w:rsidP="003B6738">
      <w:pPr>
        <w:widowControl w:val="0"/>
        <w:autoSpaceDE w:val="0"/>
        <w:autoSpaceDN w:val="0"/>
        <w:adjustRightInd w:val="0"/>
        <w:spacing w:line="480" w:lineRule="auto"/>
        <w:ind w:firstLine="2160"/>
        <w:rPr>
          <w:szCs w:val="24"/>
        </w:rPr>
      </w:pPr>
      <w:r>
        <w:rPr>
          <w:szCs w:val="24"/>
        </w:rPr>
        <w:t xml:space="preserve">“(A) Documentation </w:t>
      </w:r>
      <w:r w:rsidRPr="00733A7D">
        <w:rPr>
          <w:szCs w:val="24"/>
        </w:rPr>
        <w:t>that planned encumbrances and expenditures are capital eligible</w:t>
      </w:r>
      <w:r>
        <w:rPr>
          <w:szCs w:val="24"/>
        </w:rPr>
        <w:t xml:space="preserve">; and </w:t>
      </w:r>
    </w:p>
    <w:p w14:paraId="6686C722" w14:textId="1871EB30" w:rsidR="001164CA" w:rsidRPr="008420F6" w:rsidRDefault="001164CA" w:rsidP="003B6738">
      <w:pPr>
        <w:widowControl w:val="0"/>
        <w:autoSpaceDE w:val="0"/>
        <w:autoSpaceDN w:val="0"/>
        <w:adjustRightInd w:val="0"/>
        <w:spacing w:line="480" w:lineRule="auto"/>
        <w:ind w:firstLine="2160"/>
        <w:rPr>
          <w:bCs/>
          <w:szCs w:val="24"/>
        </w:rPr>
      </w:pPr>
      <w:r>
        <w:rPr>
          <w:szCs w:val="24"/>
        </w:rPr>
        <w:t xml:space="preserve">“(B) </w:t>
      </w:r>
      <w:r>
        <w:rPr>
          <w:bCs/>
          <w:szCs w:val="24"/>
        </w:rPr>
        <w:t>I</w:t>
      </w:r>
      <w:r w:rsidRPr="008420F6">
        <w:rPr>
          <w:bCs/>
          <w:szCs w:val="24"/>
        </w:rPr>
        <w:t xml:space="preserve">nformation on each </w:t>
      </w:r>
      <w:r>
        <w:rPr>
          <w:bCs/>
          <w:szCs w:val="24"/>
        </w:rPr>
        <w:t>sub</w:t>
      </w:r>
      <w:r w:rsidRPr="008420F6">
        <w:rPr>
          <w:bCs/>
          <w:szCs w:val="24"/>
        </w:rPr>
        <w:t xml:space="preserve">project for which the Authority proposes to </w:t>
      </w:r>
      <w:r>
        <w:rPr>
          <w:bCs/>
          <w:szCs w:val="24"/>
        </w:rPr>
        <w:t>use DHA21C</w:t>
      </w:r>
      <w:r w:rsidR="00167801">
        <w:rPr>
          <w:bCs/>
          <w:szCs w:val="24"/>
        </w:rPr>
        <w:t xml:space="preserve"> funds</w:t>
      </w:r>
      <w:r>
        <w:rPr>
          <w:bCs/>
          <w:szCs w:val="24"/>
        </w:rPr>
        <w:t>, including, a</w:t>
      </w:r>
      <w:r w:rsidRPr="008420F6">
        <w:rPr>
          <w:bCs/>
          <w:szCs w:val="24"/>
        </w:rPr>
        <w:t>t a minimum:</w:t>
      </w:r>
    </w:p>
    <w:p w14:paraId="5B92491A" w14:textId="1634D63D" w:rsidR="001164CA" w:rsidRPr="008420F6" w:rsidRDefault="001164CA" w:rsidP="003B6738">
      <w:pPr>
        <w:spacing w:line="480" w:lineRule="auto"/>
        <w:rPr>
          <w:bCs/>
          <w:szCs w:val="24"/>
        </w:rPr>
      </w:pPr>
      <w:r w:rsidRPr="008420F6">
        <w:rPr>
          <w:bCs/>
          <w:szCs w:val="24"/>
        </w:rPr>
        <w:tab/>
      </w:r>
      <w:r w:rsidRPr="008420F6">
        <w:rPr>
          <w:bCs/>
          <w:szCs w:val="24"/>
        </w:rPr>
        <w:tab/>
      </w:r>
      <w:r>
        <w:rPr>
          <w:bCs/>
          <w:szCs w:val="24"/>
        </w:rPr>
        <w:tab/>
      </w:r>
      <w:r>
        <w:rPr>
          <w:bCs/>
          <w:szCs w:val="24"/>
        </w:rPr>
        <w:tab/>
        <w:t>“</w:t>
      </w:r>
      <w:r w:rsidRPr="008420F6">
        <w:rPr>
          <w:bCs/>
          <w:szCs w:val="24"/>
        </w:rPr>
        <w:t>(</w:t>
      </w:r>
      <w:r>
        <w:rPr>
          <w:bCs/>
          <w:szCs w:val="24"/>
        </w:rPr>
        <w:t>i</w:t>
      </w:r>
      <w:r w:rsidRPr="008420F6">
        <w:rPr>
          <w:bCs/>
          <w:szCs w:val="24"/>
        </w:rPr>
        <w:t xml:space="preserve">) The </w:t>
      </w:r>
      <w:r>
        <w:rPr>
          <w:bCs/>
          <w:szCs w:val="24"/>
        </w:rPr>
        <w:t xml:space="preserve">proposed </w:t>
      </w:r>
      <w:r w:rsidRPr="008420F6">
        <w:rPr>
          <w:bCs/>
          <w:szCs w:val="24"/>
        </w:rPr>
        <w:t xml:space="preserve">location of the </w:t>
      </w:r>
      <w:r>
        <w:rPr>
          <w:bCs/>
          <w:szCs w:val="24"/>
        </w:rPr>
        <w:t>sub</w:t>
      </w:r>
      <w:r w:rsidRPr="008420F6">
        <w:rPr>
          <w:bCs/>
          <w:szCs w:val="24"/>
        </w:rPr>
        <w:t>project;</w:t>
      </w:r>
    </w:p>
    <w:p w14:paraId="160B5DEA" w14:textId="7344E8CC" w:rsidR="001164CA" w:rsidRPr="008420F6" w:rsidRDefault="001164CA" w:rsidP="003B6738">
      <w:pPr>
        <w:spacing w:line="480" w:lineRule="auto"/>
        <w:rPr>
          <w:bCs/>
          <w:szCs w:val="24"/>
        </w:rPr>
      </w:pPr>
      <w:r w:rsidRPr="008420F6">
        <w:rPr>
          <w:bCs/>
          <w:szCs w:val="24"/>
        </w:rPr>
        <w:tab/>
      </w:r>
      <w:r w:rsidRPr="008420F6">
        <w:rPr>
          <w:bCs/>
          <w:szCs w:val="24"/>
        </w:rPr>
        <w:tab/>
      </w:r>
      <w:r w:rsidRPr="008420F6" w:rsidDel="005C23BE">
        <w:rPr>
          <w:bCs/>
          <w:szCs w:val="24"/>
        </w:rPr>
        <w:t xml:space="preserve"> </w:t>
      </w:r>
      <w:r>
        <w:rPr>
          <w:bCs/>
          <w:szCs w:val="24"/>
        </w:rPr>
        <w:tab/>
      </w:r>
      <w:r>
        <w:rPr>
          <w:bCs/>
          <w:szCs w:val="24"/>
        </w:rPr>
        <w:tab/>
        <w:t>“</w:t>
      </w:r>
      <w:r w:rsidRPr="008420F6">
        <w:rPr>
          <w:bCs/>
          <w:szCs w:val="24"/>
        </w:rPr>
        <w:t>(</w:t>
      </w:r>
      <w:r>
        <w:rPr>
          <w:bCs/>
          <w:szCs w:val="24"/>
        </w:rPr>
        <w:t>ii</w:t>
      </w:r>
      <w:r w:rsidRPr="008420F6">
        <w:rPr>
          <w:bCs/>
          <w:szCs w:val="24"/>
        </w:rPr>
        <w:t xml:space="preserve">) A detailed </w:t>
      </w:r>
      <w:r>
        <w:rPr>
          <w:bCs/>
          <w:szCs w:val="24"/>
        </w:rPr>
        <w:t xml:space="preserve">proposed </w:t>
      </w:r>
      <w:r w:rsidRPr="008420F6">
        <w:rPr>
          <w:bCs/>
          <w:szCs w:val="24"/>
        </w:rPr>
        <w:t xml:space="preserve">scope of the </w:t>
      </w:r>
      <w:r>
        <w:rPr>
          <w:bCs/>
          <w:szCs w:val="24"/>
        </w:rPr>
        <w:t>sub</w:t>
      </w:r>
      <w:r w:rsidRPr="008420F6">
        <w:rPr>
          <w:bCs/>
          <w:szCs w:val="24"/>
        </w:rPr>
        <w:t>project;</w:t>
      </w:r>
    </w:p>
    <w:p w14:paraId="4D1E89F6" w14:textId="13328026" w:rsidR="001164CA" w:rsidRPr="008420F6" w:rsidRDefault="001164CA" w:rsidP="003B6738">
      <w:pPr>
        <w:spacing w:line="480" w:lineRule="auto"/>
        <w:rPr>
          <w:bCs/>
          <w:szCs w:val="24"/>
        </w:rPr>
      </w:pPr>
      <w:r w:rsidRPr="008420F6">
        <w:rPr>
          <w:bCs/>
          <w:szCs w:val="24"/>
        </w:rPr>
        <w:lastRenderedPageBreak/>
        <w:tab/>
      </w:r>
      <w:r w:rsidRPr="008420F6">
        <w:rPr>
          <w:bCs/>
          <w:szCs w:val="24"/>
        </w:rPr>
        <w:tab/>
      </w:r>
      <w:r w:rsidRPr="008420F6" w:rsidDel="005C23BE">
        <w:rPr>
          <w:bCs/>
          <w:szCs w:val="24"/>
        </w:rPr>
        <w:t xml:space="preserve"> </w:t>
      </w:r>
      <w:r>
        <w:rPr>
          <w:bCs/>
          <w:szCs w:val="24"/>
        </w:rPr>
        <w:tab/>
      </w:r>
      <w:r>
        <w:rPr>
          <w:bCs/>
          <w:szCs w:val="24"/>
        </w:rPr>
        <w:tab/>
        <w:t>“</w:t>
      </w:r>
      <w:r w:rsidRPr="008420F6">
        <w:rPr>
          <w:bCs/>
          <w:szCs w:val="24"/>
        </w:rPr>
        <w:t>(</w:t>
      </w:r>
      <w:r>
        <w:rPr>
          <w:bCs/>
          <w:szCs w:val="24"/>
        </w:rPr>
        <w:t>iii</w:t>
      </w:r>
      <w:r w:rsidRPr="008420F6">
        <w:rPr>
          <w:bCs/>
          <w:szCs w:val="24"/>
        </w:rPr>
        <w:t xml:space="preserve">) A detailed </w:t>
      </w:r>
      <w:r>
        <w:rPr>
          <w:bCs/>
          <w:szCs w:val="24"/>
        </w:rPr>
        <w:t xml:space="preserve">proposed </w:t>
      </w:r>
      <w:r w:rsidRPr="008420F6">
        <w:rPr>
          <w:bCs/>
          <w:szCs w:val="24"/>
        </w:rPr>
        <w:t xml:space="preserve">line-item budget for the </w:t>
      </w:r>
      <w:r>
        <w:rPr>
          <w:bCs/>
          <w:szCs w:val="24"/>
        </w:rPr>
        <w:t>sub</w:t>
      </w:r>
      <w:r w:rsidRPr="008420F6">
        <w:rPr>
          <w:bCs/>
          <w:szCs w:val="24"/>
        </w:rPr>
        <w:t>project;</w:t>
      </w:r>
    </w:p>
    <w:p w14:paraId="279F85CD" w14:textId="3EA7CE05" w:rsidR="001164CA" w:rsidRPr="008420F6" w:rsidRDefault="001164CA" w:rsidP="003B6738">
      <w:pPr>
        <w:spacing w:line="480" w:lineRule="auto"/>
        <w:rPr>
          <w:bCs/>
          <w:szCs w:val="24"/>
        </w:rPr>
      </w:pPr>
      <w:r w:rsidRPr="008420F6">
        <w:rPr>
          <w:bCs/>
          <w:szCs w:val="24"/>
        </w:rPr>
        <w:tab/>
      </w:r>
      <w:r w:rsidRPr="008420F6">
        <w:rPr>
          <w:bCs/>
          <w:szCs w:val="24"/>
        </w:rPr>
        <w:tab/>
      </w:r>
      <w:r w:rsidRPr="008420F6" w:rsidDel="005C23BE">
        <w:rPr>
          <w:bCs/>
          <w:szCs w:val="24"/>
        </w:rPr>
        <w:t xml:space="preserve"> </w:t>
      </w:r>
      <w:r>
        <w:rPr>
          <w:bCs/>
          <w:szCs w:val="24"/>
        </w:rPr>
        <w:tab/>
      </w:r>
      <w:r>
        <w:rPr>
          <w:bCs/>
          <w:szCs w:val="24"/>
        </w:rPr>
        <w:tab/>
        <w:t>“</w:t>
      </w:r>
      <w:r w:rsidRPr="008420F6">
        <w:rPr>
          <w:bCs/>
          <w:szCs w:val="24"/>
        </w:rPr>
        <w:t>(</w:t>
      </w:r>
      <w:r>
        <w:rPr>
          <w:bCs/>
          <w:szCs w:val="24"/>
        </w:rPr>
        <w:t>iv</w:t>
      </w:r>
      <w:r w:rsidRPr="008420F6">
        <w:rPr>
          <w:bCs/>
          <w:szCs w:val="24"/>
        </w:rPr>
        <w:t xml:space="preserve">) A detailed </w:t>
      </w:r>
      <w:r>
        <w:rPr>
          <w:bCs/>
          <w:szCs w:val="24"/>
        </w:rPr>
        <w:t xml:space="preserve">proposed </w:t>
      </w:r>
      <w:r w:rsidRPr="008420F6">
        <w:rPr>
          <w:bCs/>
          <w:szCs w:val="24"/>
        </w:rPr>
        <w:t xml:space="preserve">timeline for the </w:t>
      </w:r>
      <w:r>
        <w:rPr>
          <w:bCs/>
          <w:szCs w:val="24"/>
        </w:rPr>
        <w:t>sub</w:t>
      </w:r>
      <w:r w:rsidRPr="008420F6">
        <w:rPr>
          <w:bCs/>
          <w:szCs w:val="24"/>
        </w:rPr>
        <w:t>project;</w:t>
      </w:r>
      <w:r>
        <w:rPr>
          <w:bCs/>
          <w:szCs w:val="24"/>
        </w:rPr>
        <w:t xml:space="preserve"> and</w:t>
      </w:r>
    </w:p>
    <w:p w14:paraId="2DDCBE60" w14:textId="5A3CC79B" w:rsidR="001164CA" w:rsidRDefault="001164CA" w:rsidP="003B6738">
      <w:pPr>
        <w:spacing w:line="480" w:lineRule="auto"/>
        <w:rPr>
          <w:bCs/>
          <w:szCs w:val="24"/>
        </w:rPr>
      </w:pPr>
      <w:r w:rsidRPr="008420F6">
        <w:rPr>
          <w:bCs/>
          <w:szCs w:val="24"/>
        </w:rPr>
        <w:tab/>
      </w:r>
      <w:r w:rsidRPr="008420F6">
        <w:rPr>
          <w:bCs/>
          <w:szCs w:val="24"/>
        </w:rPr>
        <w:tab/>
      </w:r>
      <w:r w:rsidRPr="008420F6" w:rsidDel="005C23BE">
        <w:rPr>
          <w:bCs/>
          <w:szCs w:val="24"/>
        </w:rPr>
        <w:t xml:space="preserve"> </w:t>
      </w:r>
      <w:r>
        <w:rPr>
          <w:bCs/>
          <w:szCs w:val="24"/>
        </w:rPr>
        <w:tab/>
      </w:r>
      <w:r>
        <w:rPr>
          <w:bCs/>
          <w:szCs w:val="24"/>
        </w:rPr>
        <w:tab/>
        <w:t>“</w:t>
      </w:r>
      <w:r w:rsidRPr="008420F6">
        <w:rPr>
          <w:bCs/>
          <w:szCs w:val="24"/>
        </w:rPr>
        <w:t>(</w:t>
      </w:r>
      <w:r>
        <w:rPr>
          <w:bCs/>
          <w:szCs w:val="24"/>
        </w:rPr>
        <w:t>v</w:t>
      </w:r>
      <w:r w:rsidRPr="008420F6">
        <w:rPr>
          <w:bCs/>
          <w:szCs w:val="24"/>
        </w:rPr>
        <w:t xml:space="preserve">) A statement of whether the implementation of the </w:t>
      </w:r>
      <w:r>
        <w:rPr>
          <w:bCs/>
          <w:szCs w:val="24"/>
        </w:rPr>
        <w:t>proposed sub</w:t>
      </w:r>
      <w:r w:rsidRPr="008420F6">
        <w:rPr>
          <w:bCs/>
          <w:szCs w:val="24"/>
        </w:rPr>
        <w:t>project will require the relocation of tenants and, if relocation is required, a detailed</w:t>
      </w:r>
      <w:r>
        <w:rPr>
          <w:bCs/>
          <w:szCs w:val="24"/>
        </w:rPr>
        <w:t xml:space="preserve"> proposed</w:t>
      </w:r>
      <w:r w:rsidRPr="008420F6">
        <w:rPr>
          <w:bCs/>
          <w:szCs w:val="24"/>
        </w:rPr>
        <w:t xml:space="preserve"> relocation plan.</w:t>
      </w:r>
    </w:p>
    <w:p w14:paraId="64FCF599" w14:textId="77777777" w:rsidR="009C10B4" w:rsidRDefault="001164CA" w:rsidP="005B06D7">
      <w:pPr>
        <w:spacing w:line="480" w:lineRule="auto"/>
        <w:ind w:firstLine="720"/>
        <w:rPr>
          <w:szCs w:val="24"/>
        </w:rPr>
      </w:pPr>
      <w:r>
        <w:rPr>
          <w:szCs w:val="24"/>
        </w:rPr>
        <w:t xml:space="preserve">“(2) In the event of </w:t>
      </w:r>
      <w:r w:rsidRPr="00733A7D">
        <w:rPr>
          <w:szCs w:val="24"/>
        </w:rPr>
        <w:t>significant delays or change</w:t>
      </w:r>
      <w:r>
        <w:rPr>
          <w:szCs w:val="24"/>
        </w:rPr>
        <w:t>s</w:t>
      </w:r>
      <w:r w:rsidRPr="00733A7D">
        <w:rPr>
          <w:szCs w:val="24"/>
        </w:rPr>
        <w:t xml:space="preserve"> in planned encumbrances and </w:t>
      </w:r>
      <w:r>
        <w:rPr>
          <w:szCs w:val="24"/>
        </w:rPr>
        <w:t xml:space="preserve">expenditures for any subproject </w:t>
      </w:r>
      <w:r w:rsidRPr="00733A7D">
        <w:rPr>
          <w:szCs w:val="24"/>
        </w:rPr>
        <w:t>during the fiscal year, t</w:t>
      </w:r>
      <w:r>
        <w:rPr>
          <w:szCs w:val="24"/>
        </w:rPr>
        <w:t>h</w:t>
      </w:r>
      <w:r w:rsidRPr="00733A7D">
        <w:rPr>
          <w:szCs w:val="24"/>
        </w:rPr>
        <w:t xml:space="preserve">e Authority shall update its spending plan and provide additional </w:t>
      </w:r>
      <w:r>
        <w:rPr>
          <w:szCs w:val="24"/>
        </w:rPr>
        <w:t>d</w:t>
      </w:r>
      <w:r w:rsidRPr="00733A7D">
        <w:rPr>
          <w:szCs w:val="24"/>
        </w:rPr>
        <w:t>ocumentation as needed to minimize unencumbered and unexpended transfers, avoid causing the District to incur unnecessary debt service costs, and ensure that all subproject encumbrances and expenditures are capital eligible.</w:t>
      </w:r>
      <w:r>
        <w:rPr>
          <w:szCs w:val="24"/>
        </w:rPr>
        <w:t>”.</w:t>
      </w:r>
      <w:r w:rsidR="00453D69">
        <w:rPr>
          <w:szCs w:val="24"/>
        </w:rPr>
        <w:t xml:space="preserve"> </w:t>
      </w:r>
    </w:p>
    <w:p w14:paraId="510A7D17" w14:textId="77777777" w:rsidR="009C10B4" w:rsidRDefault="008A154D" w:rsidP="005B06D7">
      <w:pPr>
        <w:spacing w:line="480" w:lineRule="auto"/>
        <w:ind w:firstLine="720"/>
        <w:rPr>
          <w:szCs w:val="24"/>
        </w:rPr>
      </w:pPr>
      <w:r>
        <w:rPr>
          <w:szCs w:val="24"/>
        </w:rPr>
        <w:t>(</w:t>
      </w:r>
      <w:r w:rsidR="0039295C">
        <w:rPr>
          <w:szCs w:val="24"/>
        </w:rPr>
        <w:t>b</w:t>
      </w:r>
      <w:r>
        <w:rPr>
          <w:szCs w:val="24"/>
        </w:rPr>
        <w:t xml:space="preserve">) </w:t>
      </w:r>
      <w:r w:rsidR="00AC66D9">
        <w:rPr>
          <w:szCs w:val="24"/>
        </w:rPr>
        <w:t xml:space="preserve">Amendatory section 203a </w:t>
      </w:r>
      <w:r w:rsidR="00230EAC">
        <w:rPr>
          <w:szCs w:val="24"/>
        </w:rPr>
        <w:t xml:space="preserve">of the </w:t>
      </w:r>
      <w:r w:rsidR="00230EAC" w:rsidRPr="00DA06BB">
        <w:rPr>
          <w:rFonts w:eastAsia="Calibri"/>
        </w:rPr>
        <w:t xml:space="preserve">Washington Convention Center Authority Act of 1994, </w:t>
      </w:r>
      <w:r w:rsidR="004556F7">
        <w:rPr>
          <w:rFonts w:eastAsia="Calibri"/>
        </w:rPr>
        <w:t xml:space="preserve">enacted on </w:t>
      </w:r>
      <w:r w:rsidR="004556F7">
        <w:rPr>
          <w:szCs w:val="24"/>
        </w:rPr>
        <w:t>August 31, 2020 (D.C. Act 23-407; 67 DCR 10493),</w:t>
      </w:r>
      <w:r w:rsidR="00230EAC">
        <w:rPr>
          <w:rFonts w:eastAsia="Calibri"/>
        </w:rPr>
        <w:t xml:space="preserve"> </w:t>
      </w:r>
      <w:r w:rsidR="00AC66D9">
        <w:rPr>
          <w:szCs w:val="24"/>
        </w:rPr>
        <w:t>in s</w:t>
      </w:r>
      <w:r>
        <w:rPr>
          <w:szCs w:val="24"/>
        </w:rPr>
        <w:t xml:space="preserve">ection 7212 is amended </w:t>
      </w:r>
      <w:r w:rsidR="001F359E">
        <w:rPr>
          <w:szCs w:val="24"/>
        </w:rPr>
        <w:t xml:space="preserve">to read </w:t>
      </w:r>
      <w:r>
        <w:rPr>
          <w:szCs w:val="24"/>
        </w:rPr>
        <w:t>as follows:</w:t>
      </w:r>
    </w:p>
    <w:p w14:paraId="16EA196B" w14:textId="17C3E3E5" w:rsidR="001F359E" w:rsidRDefault="001F359E" w:rsidP="005B06D7">
      <w:pPr>
        <w:spacing w:line="480" w:lineRule="auto"/>
        <w:ind w:firstLine="720"/>
        <w:rPr>
          <w:szCs w:val="24"/>
        </w:rPr>
      </w:pPr>
      <w:r>
        <w:rPr>
          <w:szCs w:val="24"/>
        </w:rPr>
        <w:t>“Sec. 203a. Assistance for excluded workers.</w:t>
      </w:r>
    </w:p>
    <w:p w14:paraId="328630B7" w14:textId="02E7ACBE" w:rsidR="001F359E" w:rsidRDefault="001F359E" w:rsidP="001F359E">
      <w:pPr>
        <w:spacing w:line="480" w:lineRule="auto"/>
        <w:ind w:firstLine="720"/>
      </w:pPr>
      <w:r>
        <w:t>“(a) During the public health emergency declared in the Mayor’s order dated March 11, 2020, and any extensions thereof, the Washington Convention and Sports Authority (“Events DC”) shall issue, subject to the availability of funds, grants or contracts to nonprofit entities to use to provide cash assistance to District residents who are otherwise excluded from District and federal aid related to COVID-19. To qualify for cash assistance from grants or contracts awarded pursuant to this section, a District resident shall, at the time of application for assistance under this section:</w:t>
      </w:r>
    </w:p>
    <w:p w14:paraId="61079EA4" w14:textId="77777777" w:rsidR="001F359E" w:rsidRDefault="001F359E" w:rsidP="001F359E">
      <w:pPr>
        <w:spacing w:line="480" w:lineRule="auto"/>
        <w:ind w:firstLine="1440"/>
      </w:pPr>
      <w:r>
        <w:lastRenderedPageBreak/>
        <w:t>“(1) Demonstrate a loss of income due to the public health emergency;</w:t>
      </w:r>
    </w:p>
    <w:p w14:paraId="7C5DE253" w14:textId="77777777" w:rsidR="001F359E" w:rsidRDefault="001F359E" w:rsidP="001F359E">
      <w:pPr>
        <w:spacing w:line="480" w:lineRule="auto"/>
        <w:ind w:firstLine="1440"/>
      </w:pPr>
      <w:r>
        <w:t>“(2)(A) Be ineligible for:</w:t>
      </w:r>
    </w:p>
    <w:p w14:paraId="38C087CF" w14:textId="77777777" w:rsidR="001F359E" w:rsidRDefault="001F359E" w:rsidP="001F359E">
      <w:pPr>
        <w:spacing w:line="480" w:lineRule="auto"/>
        <w:ind w:firstLine="2880"/>
      </w:pPr>
      <w:r>
        <w:t>“(i) Unemployment insurance; or</w:t>
      </w:r>
    </w:p>
    <w:p w14:paraId="4D26DB34" w14:textId="77777777" w:rsidR="001F359E" w:rsidRDefault="001F359E" w:rsidP="001F359E">
      <w:pPr>
        <w:spacing w:line="480" w:lineRule="auto"/>
        <w:ind w:firstLine="2880"/>
      </w:pPr>
      <w:r>
        <w:t>“(ii) COVID-19 relief; or</w:t>
      </w:r>
    </w:p>
    <w:p w14:paraId="66B42CE9" w14:textId="43CDBA08" w:rsidR="001F359E" w:rsidRDefault="001F359E" w:rsidP="001F359E">
      <w:pPr>
        <w:spacing w:line="480" w:lineRule="auto"/>
        <w:ind w:firstLine="2160"/>
      </w:pPr>
      <w:r>
        <w:t>“(B) Be a returning citizen, as that term is defined in section 2(5) of the Office on Ex-Offender Affairs and Commission on Re-Entry and Ex-Offender Affairs Establishment Act of 2006, effective March 8, 2007 (D.C. Law 16-243; D.C. Official Code § 24-1301(5)), whose incarceration ended on March 11, 2020 or later; and</w:t>
      </w:r>
    </w:p>
    <w:p w14:paraId="292BCA60" w14:textId="77777777" w:rsidR="001F359E" w:rsidRDefault="001F359E" w:rsidP="001F359E">
      <w:pPr>
        <w:spacing w:line="480" w:lineRule="auto"/>
        <w:ind w:firstLine="1440"/>
      </w:pPr>
      <w:r>
        <w:t>“(3) Provide a:</w:t>
      </w:r>
    </w:p>
    <w:p w14:paraId="0FFF95A7" w14:textId="77777777" w:rsidR="001F359E" w:rsidRDefault="001F359E" w:rsidP="001F359E">
      <w:pPr>
        <w:spacing w:line="480" w:lineRule="auto"/>
        <w:ind w:firstLine="2160"/>
      </w:pPr>
      <w:r>
        <w:t>“(A) Signed certification that the resident’s loss of income stems from the public health emergency; and</w:t>
      </w:r>
    </w:p>
    <w:p w14:paraId="5B1CD3CD" w14:textId="77777777" w:rsidR="001F359E" w:rsidRDefault="001F359E" w:rsidP="001F359E">
      <w:pPr>
        <w:spacing w:line="480" w:lineRule="auto"/>
        <w:ind w:firstLine="2160"/>
      </w:pPr>
      <w:r>
        <w:t>“(B) Proof of residency and eligibility for relief, as determined by Events DC and consistent with rules and standards for COVID-19 relief programs administered by Events DC.</w:t>
      </w:r>
    </w:p>
    <w:p w14:paraId="7BF638C9" w14:textId="77777777" w:rsidR="001F359E" w:rsidRDefault="001F359E" w:rsidP="001F359E">
      <w:pPr>
        <w:spacing w:line="480" w:lineRule="auto"/>
      </w:pPr>
      <w:r>
        <w:tab/>
        <w:t>“(b) Any entity receiving a grant or contract pursuant to this section may use no more than 10% of the grant for administrative expenses incurred from administering the cash assistance program.</w:t>
      </w:r>
    </w:p>
    <w:p w14:paraId="2FED64A4" w14:textId="77777777" w:rsidR="001F359E" w:rsidRDefault="001F359E" w:rsidP="001F359E">
      <w:pPr>
        <w:spacing w:line="480" w:lineRule="auto"/>
      </w:pPr>
      <w:r>
        <w:tab/>
        <w:t>“(c) Cash assistance provided to eligible individuals pursuant to this section shall not be considered in determining eligibility for any means-tested programs administered by the District.</w:t>
      </w:r>
    </w:p>
    <w:p w14:paraId="413AB787" w14:textId="77777777" w:rsidR="001F359E" w:rsidRDefault="001F359E" w:rsidP="001F359E">
      <w:pPr>
        <w:spacing w:line="480" w:lineRule="auto"/>
      </w:pPr>
      <w:r>
        <w:tab/>
        <w:t>“(d) For the purposes of this section the term:</w:t>
      </w:r>
    </w:p>
    <w:p w14:paraId="049F889E" w14:textId="77777777" w:rsidR="001F359E" w:rsidRDefault="001F359E" w:rsidP="001F359E">
      <w:pPr>
        <w:spacing w:line="480" w:lineRule="auto"/>
        <w:ind w:firstLine="1440"/>
      </w:pPr>
      <w:r>
        <w:lastRenderedPageBreak/>
        <w:t>“(1) “COVID-19” means the disease caused by the novel coronavirus SARS-CoV-2.</w:t>
      </w:r>
    </w:p>
    <w:p w14:paraId="10FE6831" w14:textId="7748CF51" w:rsidR="001F359E" w:rsidRDefault="001F359E" w:rsidP="008A1620">
      <w:pPr>
        <w:spacing w:line="480" w:lineRule="auto"/>
        <w:ind w:firstLine="1440"/>
        <w:rPr>
          <w:szCs w:val="24"/>
        </w:rPr>
      </w:pPr>
      <w:r>
        <w:t xml:space="preserve">“(2) “COVID-19 relief” means federal monetary unemployment assistance provided under the Coronavirus Aid, Relief, and Economic Security Act, approved March 27, 2020 (134 Stat. 281; 15 U.S.C. § 9001 </w:t>
      </w:r>
      <w:r>
        <w:rPr>
          <w:i/>
          <w:iCs/>
        </w:rPr>
        <w:t>et seq.</w:t>
      </w:r>
      <w:r>
        <w:t>), which shall include tax credits but shall not include federal Economic Impact Payments or other stimulus relief for which eligibility is not contingent on the recipient’s employment status.”.</w:t>
      </w:r>
    </w:p>
    <w:p w14:paraId="4ACF7DDE" w14:textId="4947D6E6" w:rsidR="001B20EC" w:rsidRDefault="001B20EC" w:rsidP="003B6738">
      <w:pPr>
        <w:spacing w:line="480" w:lineRule="auto"/>
        <w:ind w:firstLine="720"/>
        <w:rPr>
          <w:rFonts w:eastAsia="Calibri"/>
        </w:rPr>
      </w:pPr>
      <w:r w:rsidRPr="001164CA">
        <w:rPr>
          <w:szCs w:val="24"/>
        </w:rPr>
        <w:t xml:space="preserve">Sec. </w:t>
      </w:r>
      <w:r w:rsidR="009C10B4">
        <w:rPr>
          <w:szCs w:val="24"/>
        </w:rPr>
        <w:t>3</w:t>
      </w:r>
      <w:r>
        <w:rPr>
          <w:szCs w:val="24"/>
        </w:rPr>
        <w:t xml:space="preserve">. Section 203a of the </w:t>
      </w:r>
      <w:r w:rsidRPr="00DA06BB">
        <w:rPr>
          <w:rFonts w:eastAsia="Calibri"/>
        </w:rPr>
        <w:t xml:space="preserve">Washington Convention Center Authority Act of 1994, effective </w:t>
      </w:r>
      <w:r w:rsidR="004556F7">
        <w:rPr>
          <w:rFonts w:eastAsia="Calibri"/>
        </w:rPr>
        <w:t xml:space="preserve">August </w:t>
      </w:r>
      <w:r w:rsidR="008A43FC">
        <w:rPr>
          <w:rFonts w:eastAsia="Calibri"/>
        </w:rPr>
        <w:t>19, 2020</w:t>
      </w:r>
      <w:r w:rsidRPr="00DA06BB">
        <w:rPr>
          <w:rFonts w:eastAsia="Calibri"/>
        </w:rPr>
        <w:t xml:space="preserve"> (D.C. </w:t>
      </w:r>
      <w:r w:rsidR="008A43FC">
        <w:rPr>
          <w:rFonts w:eastAsia="Calibri"/>
        </w:rPr>
        <w:t>Act</w:t>
      </w:r>
      <w:r w:rsidR="008A43FC" w:rsidRPr="00DA06BB">
        <w:rPr>
          <w:rFonts w:eastAsia="Calibri"/>
        </w:rPr>
        <w:t xml:space="preserve"> </w:t>
      </w:r>
      <w:r w:rsidR="008A43FC">
        <w:rPr>
          <w:rFonts w:eastAsia="Calibri"/>
        </w:rPr>
        <w:t>23-404</w:t>
      </w:r>
      <w:r w:rsidRPr="00DA06BB">
        <w:rPr>
          <w:rFonts w:eastAsia="Calibri"/>
        </w:rPr>
        <w:t xml:space="preserve">; </w:t>
      </w:r>
      <w:r w:rsidR="008A43FC">
        <w:rPr>
          <w:rFonts w:eastAsia="Calibri"/>
        </w:rPr>
        <w:t>67 DCR 10098</w:t>
      </w:r>
      <w:r w:rsidR="0083564A">
        <w:rPr>
          <w:rFonts w:eastAsia="Calibri"/>
        </w:rPr>
        <w:t>)</w:t>
      </w:r>
      <w:r w:rsidRPr="00DA06BB">
        <w:rPr>
          <w:rFonts w:eastAsia="Calibri"/>
        </w:rPr>
        <w:t>, is amended</w:t>
      </w:r>
      <w:r w:rsidR="0083564A">
        <w:rPr>
          <w:rFonts w:eastAsia="Calibri"/>
        </w:rPr>
        <w:t xml:space="preserve"> as follows:</w:t>
      </w:r>
    </w:p>
    <w:p w14:paraId="5115A214" w14:textId="152D84DD" w:rsidR="0083564A" w:rsidRDefault="00C616E2" w:rsidP="003B6738">
      <w:pPr>
        <w:spacing w:line="480" w:lineRule="auto"/>
        <w:ind w:firstLine="720"/>
        <w:rPr>
          <w:rFonts w:eastAsia="Calibri"/>
        </w:rPr>
      </w:pPr>
      <w:r>
        <w:rPr>
          <w:rFonts w:eastAsia="Calibri"/>
        </w:rPr>
        <w:t>(a) Subsection (a) is amended as follows:</w:t>
      </w:r>
    </w:p>
    <w:p w14:paraId="353E0AAE" w14:textId="18C1D2AB" w:rsidR="00C616E2" w:rsidRDefault="00C616E2" w:rsidP="003B6738">
      <w:pPr>
        <w:spacing w:line="480" w:lineRule="auto"/>
        <w:ind w:firstLine="720"/>
        <w:rPr>
          <w:rFonts w:eastAsia="Calibri"/>
        </w:rPr>
      </w:pPr>
      <w:r>
        <w:rPr>
          <w:rFonts w:eastAsia="Calibri"/>
        </w:rPr>
        <w:tab/>
        <w:t xml:space="preserve">(1) The lead-in </w:t>
      </w:r>
      <w:r w:rsidR="003220FC">
        <w:rPr>
          <w:rFonts w:eastAsia="Calibri"/>
        </w:rPr>
        <w:t xml:space="preserve">language </w:t>
      </w:r>
      <w:r>
        <w:rPr>
          <w:rFonts w:eastAsia="Calibri"/>
        </w:rPr>
        <w:t>is amended as follows:</w:t>
      </w:r>
    </w:p>
    <w:p w14:paraId="0E4ED580" w14:textId="6008A998" w:rsidR="00C616E2" w:rsidRDefault="00C616E2" w:rsidP="003B6738">
      <w:pPr>
        <w:spacing w:line="480" w:lineRule="auto"/>
        <w:ind w:firstLine="2160"/>
        <w:rPr>
          <w:rFonts w:eastAsia="Calibri"/>
        </w:rPr>
      </w:pPr>
      <w:r>
        <w:rPr>
          <w:rFonts w:eastAsia="Calibri"/>
        </w:rPr>
        <w:t>(A) Strike the phrase “the Washington Convention and Sports Authority shall” and insert the phrase “the Washington Convention and Sports Authority (“Events DC”) shall” in its place.</w:t>
      </w:r>
    </w:p>
    <w:p w14:paraId="475F1CFC" w14:textId="0A73416A" w:rsidR="00C616E2" w:rsidRDefault="00C616E2" w:rsidP="003B6738">
      <w:pPr>
        <w:spacing w:line="480" w:lineRule="auto"/>
        <w:ind w:firstLine="2160"/>
        <w:rPr>
          <w:rFonts w:eastAsia="Calibri"/>
        </w:rPr>
      </w:pPr>
      <w:r>
        <w:rPr>
          <w:rFonts w:eastAsia="Calibri"/>
        </w:rPr>
        <w:t>(B) Strike the phrase “a District resident shall” and insert the phrase “a District resident shall, at the time of application for assistance under this section” in its place.</w:t>
      </w:r>
    </w:p>
    <w:p w14:paraId="02A13430" w14:textId="53C00B42" w:rsidR="00C616E2" w:rsidRDefault="00C616E2" w:rsidP="003B6738">
      <w:pPr>
        <w:spacing w:line="480" w:lineRule="auto"/>
        <w:rPr>
          <w:rFonts w:eastAsia="Calibri"/>
        </w:rPr>
      </w:pPr>
      <w:r>
        <w:rPr>
          <w:rFonts w:eastAsia="Calibri"/>
        </w:rPr>
        <w:tab/>
      </w:r>
      <w:r>
        <w:rPr>
          <w:rFonts w:eastAsia="Calibri"/>
        </w:rPr>
        <w:tab/>
        <w:t>(2) Paragraph (1) is amended to read as follows:</w:t>
      </w:r>
    </w:p>
    <w:p w14:paraId="097CCAFB" w14:textId="6BC4F7A7" w:rsidR="00C616E2" w:rsidRDefault="00C616E2" w:rsidP="003B6738">
      <w:pPr>
        <w:spacing w:line="480" w:lineRule="auto"/>
        <w:rPr>
          <w:rFonts w:eastAsia="Calibri"/>
        </w:rPr>
      </w:pPr>
      <w:r>
        <w:rPr>
          <w:rFonts w:eastAsia="Calibri"/>
        </w:rPr>
        <w:tab/>
      </w:r>
      <w:r>
        <w:rPr>
          <w:rFonts w:eastAsia="Calibri"/>
        </w:rPr>
        <w:tab/>
        <w:t xml:space="preserve">“(1) </w:t>
      </w:r>
      <w:r w:rsidR="00A435CC">
        <w:rPr>
          <w:rFonts w:eastAsia="Calibri"/>
        </w:rPr>
        <w:t>Demonstrate loss of income due to the public health emergency;</w:t>
      </w:r>
      <w:r>
        <w:rPr>
          <w:rFonts w:eastAsia="Calibri"/>
        </w:rPr>
        <w:t>”.</w:t>
      </w:r>
    </w:p>
    <w:p w14:paraId="0271345A" w14:textId="28AB5E97" w:rsidR="00C616E2" w:rsidRDefault="00C616E2" w:rsidP="003B6738">
      <w:pPr>
        <w:spacing w:line="480" w:lineRule="auto"/>
        <w:rPr>
          <w:rFonts w:eastAsia="Calibri"/>
        </w:rPr>
      </w:pPr>
      <w:r>
        <w:rPr>
          <w:rFonts w:eastAsia="Calibri"/>
        </w:rPr>
        <w:tab/>
      </w:r>
      <w:r>
        <w:rPr>
          <w:rFonts w:eastAsia="Calibri"/>
        </w:rPr>
        <w:tab/>
        <w:t>(3) Paragraph (2) is amended to read as follows:</w:t>
      </w:r>
    </w:p>
    <w:p w14:paraId="4F681313" w14:textId="77777777" w:rsidR="00A435CC" w:rsidRDefault="00C616E2" w:rsidP="003B6738">
      <w:pPr>
        <w:spacing w:line="480" w:lineRule="auto"/>
        <w:ind w:firstLine="1440"/>
        <w:rPr>
          <w:rFonts w:eastAsia="Calibri"/>
        </w:rPr>
      </w:pPr>
      <w:r>
        <w:rPr>
          <w:rFonts w:eastAsia="Calibri"/>
        </w:rPr>
        <w:t>“</w:t>
      </w:r>
      <w:r w:rsidR="00A435CC">
        <w:rPr>
          <w:rFonts w:eastAsia="Calibri"/>
        </w:rPr>
        <w:t xml:space="preserve">(2)(A) </w:t>
      </w:r>
      <w:r w:rsidR="00A435CC" w:rsidRPr="00DA06BB">
        <w:rPr>
          <w:rFonts w:eastAsia="Calibri"/>
        </w:rPr>
        <w:t>Be ineligible for</w:t>
      </w:r>
      <w:r w:rsidR="00A435CC">
        <w:rPr>
          <w:rFonts w:eastAsia="Calibri"/>
        </w:rPr>
        <w:t>:</w:t>
      </w:r>
      <w:r w:rsidR="00A435CC" w:rsidRPr="00DA06BB">
        <w:rPr>
          <w:rFonts w:eastAsia="Calibri"/>
        </w:rPr>
        <w:t xml:space="preserve"> </w:t>
      </w:r>
    </w:p>
    <w:p w14:paraId="66B0B10B" w14:textId="13185C33" w:rsidR="00A435CC" w:rsidRDefault="00A435CC" w:rsidP="003B6738">
      <w:pPr>
        <w:spacing w:line="480" w:lineRule="auto"/>
        <w:ind w:left="1440" w:firstLine="1440"/>
        <w:rPr>
          <w:rFonts w:eastAsia="Calibri"/>
        </w:rPr>
      </w:pPr>
      <w:r>
        <w:rPr>
          <w:rFonts w:eastAsia="Calibri"/>
        </w:rPr>
        <w:t>“(i) U</w:t>
      </w:r>
      <w:r w:rsidRPr="00DA06BB">
        <w:rPr>
          <w:rFonts w:eastAsia="Calibri"/>
        </w:rPr>
        <w:t>nemployment insurance</w:t>
      </w:r>
      <w:r>
        <w:rPr>
          <w:rFonts w:eastAsia="Calibri"/>
        </w:rPr>
        <w:t>; or</w:t>
      </w:r>
    </w:p>
    <w:p w14:paraId="2384D77A" w14:textId="3C7CE1E2" w:rsidR="00A435CC" w:rsidRDefault="00A435CC" w:rsidP="003B6738">
      <w:pPr>
        <w:spacing w:line="480" w:lineRule="auto"/>
        <w:ind w:left="720" w:firstLine="2160"/>
        <w:rPr>
          <w:rFonts w:eastAsia="Calibri"/>
        </w:rPr>
      </w:pPr>
      <w:r>
        <w:rPr>
          <w:rFonts w:eastAsia="Calibri"/>
        </w:rPr>
        <w:lastRenderedPageBreak/>
        <w:t xml:space="preserve">“(ii) </w:t>
      </w:r>
      <w:r w:rsidRPr="00DA06BB">
        <w:rPr>
          <w:rFonts w:eastAsia="Calibri"/>
        </w:rPr>
        <w:t xml:space="preserve">COVID-19 relief; </w:t>
      </w:r>
      <w:r>
        <w:rPr>
          <w:rFonts w:eastAsia="Calibri"/>
        </w:rPr>
        <w:t>or</w:t>
      </w:r>
    </w:p>
    <w:p w14:paraId="240F4646" w14:textId="556D754E" w:rsidR="00A435CC" w:rsidRDefault="00A435CC" w:rsidP="003B6738">
      <w:pPr>
        <w:spacing w:line="480" w:lineRule="auto"/>
        <w:ind w:firstLine="2160"/>
        <w:rPr>
          <w:rFonts w:eastAsia="Calibri"/>
        </w:rPr>
      </w:pPr>
      <w:r w:rsidRPr="00DA06BB">
        <w:rPr>
          <w:rFonts w:eastAsia="Calibri"/>
        </w:rPr>
        <w:t>“(</w:t>
      </w:r>
      <w:r>
        <w:rPr>
          <w:rFonts w:eastAsia="Calibri"/>
        </w:rPr>
        <w:t>B</w:t>
      </w:r>
      <w:r w:rsidRPr="00DA06BB">
        <w:rPr>
          <w:rFonts w:eastAsia="Calibri"/>
        </w:rPr>
        <w:t xml:space="preserve">) </w:t>
      </w:r>
      <w:r>
        <w:rPr>
          <w:rFonts w:eastAsia="Calibri"/>
        </w:rPr>
        <w:t>Be</w:t>
      </w:r>
      <w:r>
        <w:t xml:space="preserve"> a returning citizen, as defined by section 2(5) of the Office on Ex-Offender Affairs and Commission on Re-Entry and Ex-Offender Affairs Establishment Act of 2006, effective March 8, 2007 (D.C. Law 16-243; D.C. Official Code § 24-1301(5)), whose incarceration ended </w:t>
      </w:r>
      <w:r w:rsidR="005B06D7">
        <w:t>on March 11, 2020 or later;</w:t>
      </w:r>
      <w:r w:rsidR="00C028A7">
        <w:t xml:space="preserve"> and</w:t>
      </w:r>
      <w:r>
        <w:t>”.</w:t>
      </w:r>
      <w:r w:rsidR="00C616E2">
        <w:rPr>
          <w:rFonts w:eastAsia="Calibri"/>
        </w:rPr>
        <w:tab/>
      </w:r>
    </w:p>
    <w:p w14:paraId="5400B6E5" w14:textId="5EBB9833" w:rsidR="00C616E2" w:rsidRDefault="00C616E2" w:rsidP="003B6738">
      <w:pPr>
        <w:spacing w:line="480" w:lineRule="auto"/>
        <w:ind w:left="720" w:firstLine="720"/>
        <w:rPr>
          <w:rFonts w:eastAsia="Calibri"/>
        </w:rPr>
      </w:pPr>
      <w:r>
        <w:rPr>
          <w:rFonts w:eastAsia="Calibri"/>
        </w:rPr>
        <w:t xml:space="preserve">(4) </w:t>
      </w:r>
      <w:r w:rsidR="00C028A7">
        <w:rPr>
          <w:rFonts w:eastAsia="Calibri"/>
        </w:rPr>
        <w:t>A</w:t>
      </w:r>
      <w:r w:rsidR="00A435CC">
        <w:rPr>
          <w:rFonts w:eastAsia="Calibri"/>
        </w:rPr>
        <w:t xml:space="preserve"> new paragraph (3) </w:t>
      </w:r>
      <w:r w:rsidR="00C028A7">
        <w:rPr>
          <w:rFonts w:eastAsia="Calibri"/>
        </w:rPr>
        <w:t xml:space="preserve">is added </w:t>
      </w:r>
      <w:r w:rsidR="00A435CC">
        <w:rPr>
          <w:rFonts w:eastAsia="Calibri"/>
        </w:rPr>
        <w:t>to read as follows</w:t>
      </w:r>
      <w:r>
        <w:rPr>
          <w:rFonts w:eastAsia="Calibri"/>
        </w:rPr>
        <w:t>:</w:t>
      </w:r>
    </w:p>
    <w:p w14:paraId="5A2B8292" w14:textId="314A943B" w:rsidR="00A435CC" w:rsidRDefault="00A435CC" w:rsidP="003B6738">
      <w:pPr>
        <w:spacing w:line="480" w:lineRule="auto"/>
        <w:ind w:firstLine="1440"/>
        <w:rPr>
          <w:rFonts w:eastAsia="Calibri"/>
        </w:rPr>
      </w:pPr>
      <w:bookmarkStart w:id="4" w:name="_Hlk51147684"/>
      <w:r>
        <w:rPr>
          <w:rFonts w:eastAsia="Calibri"/>
        </w:rPr>
        <w:t xml:space="preserve">“(3) Provide a: </w:t>
      </w:r>
    </w:p>
    <w:p w14:paraId="523D0177" w14:textId="16D559B9" w:rsidR="00A435CC" w:rsidRDefault="00A435CC" w:rsidP="003B6738">
      <w:pPr>
        <w:spacing w:line="480" w:lineRule="auto"/>
        <w:ind w:firstLine="2160"/>
        <w:rPr>
          <w:rFonts w:eastAsia="Calibri"/>
        </w:rPr>
      </w:pPr>
      <w:r>
        <w:rPr>
          <w:rFonts w:eastAsia="Calibri"/>
        </w:rPr>
        <w:t xml:space="preserve">“(A) Signed certification that the resident’s </w:t>
      </w:r>
      <w:r w:rsidR="003F4520">
        <w:rPr>
          <w:rFonts w:eastAsia="Calibri"/>
        </w:rPr>
        <w:t>loss of income</w:t>
      </w:r>
      <w:r>
        <w:rPr>
          <w:rFonts w:eastAsia="Calibri"/>
        </w:rPr>
        <w:t xml:space="preserve"> stems from the public health emergency; and</w:t>
      </w:r>
    </w:p>
    <w:p w14:paraId="096E17B0" w14:textId="77777777" w:rsidR="00A435CC" w:rsidRDefault="00A435CC" w:rsidP="003B6738">
      <w:pPr>
        <w:spacing w:line="480" w:lineRule="auto"/>
        <w:ind w:firstLine="2160"/>
        <w:rPr>
          <w:rFonts w:eastAsia="Calibri"/>
        </w:rPr>
      </w:pPr>
      <w:r>
        <w:rPr>
          <w:rFonts w:eastAsia="Calibri"/>
        </w:rPr>
        <w:t>“(B) Proof of residency and eligibility for relief, as determined by</w:t>
      </w:r>
      <w:r w:rsidRPr="00D4165C">
        <w:rPr>
          <w:rFonts w:eastAsia="Calibri"/>
        </w:rPr>
        <w:t xml:space="preserve"> </w:t>
      </w:r>
      <w:r>
        <w:rPr>
          <w:rFonts w:eastAsia="Calibri"/>
        </w:rPr>
        <w:t>Events DC and consistent with rules and standards for COVID-19 relief programs administered by Events DC</w:t>
      </w:r>
      <w:r w:rsidRPr="008C2272">
        <w:rPr>
          <w:rFonts w:eastAsia="Calibri"/>
        </w:rPr>
        <w:t>.</w:t>
      </w:r>
      <w:r>
        <w:rPr>
          <w:rFonts w:eastAsia="Calibri"/>
        </w:rPr>
        <w:t>”.</w:t>
      </w:r>
    </w:p>
    <w:p w14:paraId="70A9117D" w14:textId="762FD815" w:rsidR="00C616E2" w:rsidRDefault="00C616E2" w:rsidP="003B6738">
      <w:pPr>
        <w:spacing w:line="480" w:lineRule="auto"/>
        <w:rPr>
          <w:rFonts w:eastAsia="Calibri"/>
        </w:rPr>
      </w:pPr>
      <w:r>
        <w:rPr>
          <w:rFonts w:eastAsia="Calibri"/>
        </w:rPr>
        <w:tab/>
        <w:t>(b) Subsection (d)</w:t>
      </w:r>
      <w:r w:rsidR="00A435CC">
        <w:rPr>
          <w:rFonts w:eastAsia="Calibri"/>
        </w:rPr>
        <w:t>(2)</w:t>
      </w:r>
      <w:r>
        <w:rPr>
          <w:rFonts w:eastAsia="Calibri"/>
        </w:rPr>
        <w:t xml:space="preserve"> is amended to read as follows:</w:t>
      </w:r>
    </w:p>
    <w:p w14:paraId="3E3D8659" w14:textId="48D676E0" w:rsidR="00E67391" w:rsidRDefault="00A435CC" w:rsidP="003B6738">
      <w:pPr>
        <w:spacing w:line="480" w:lineRule="auto"/>
        <w:ind w:firstLine="1440"/>
        <w:rPr>
          <w:rFonts w:eastAsia="Calibri"/>
        </w:rPr>
      </w:pPr>
      <w:r>
        <w:rPr>
          <w:rFonts w:eastAsia="Calibri"/>
        </w:rPr>
        <w:t>“</w:t>
      </w:r>
      <w:r w:rsidRPr="00DA06BB">
        <w:rPr>
          <w:rFonts w:eastAsia="Calibri"/>
        </w:rPr>
        <w:t xml:space="preserve">(2) COVID-19 relief” means federal monetary </w:t>
      </w:r>
      <w:r>
        <w:rPr>
          <w:rFonts w:eastAsia="Calibri"/>
        </w:rPr>
        <w:t xml:space="preserve">unemployment </w:t>
      </w:r>
      <w:r w:rsidRPr="00DA06BB">
        <w:rPr>
          <w:rFonts w:eastAsia="Calibri"/>
        </w:rPr>
        <w:t>assistance</w:t>
      </w:r>
      <w:r w:rsidR="00D07410">
        <w:rPr>
          <w:rFonts w:eastAsia="Calibri"/>
        </w:rPr>
        <w:t xml:space="preserve"> </w:t>
      </w:r>
      <w:r w:rsidRPr="00DA06BB">
        <w:rPr>
          <w:rFonts w:eastAsia="Calibri"/>
        </w:rPr>
        <w:t xml:space="preserve">provided under the Coronavirus Aid, Relief, and Economic Security Act, approved March 27, 2020 (134 Stat. 281; 15 U.S.C. § 9001 </w:t>
      </w:r>
      <w:r w:rsidRPr="00DA06BB">
        <w:rPr>
          <w:rFonts w:eastAsia="Calibri"/>
          <w:i/>
          <w:iCs/>
        </w:rPr>
        <w:t>et seq.</w:t>
      </w:r>
      <w:r w:rsidRPr="00DA06BB">
        <w:rPr>
          <w:rFonts w:eastAsia="Calibri"/>
        </w:rPr>
        <w:t>)</w:t>
      </w:r>
      <w:r>
        <w:rPr>
          <w:rFonts w:eastAsia="Calibri"/>
        </w:rPr>
        <w:t xml:space="preserve">, which shall include tax credits but shall not include federal Economic Impact Payments or other stimulus relief </w:t>
      </w:r>
      <w:r w:rsidR="00944ADF">
        <w:rPr>
          <w:rFonts w:eastAsia="Calibri"/>
        </w:rPr>
        <w:t xml:space="preserve">for which </w:t>
      </w:r>
      <w:r>
        <w:rPr>
          <w:rFonts w:eastAsia="Calibri"/>
        </w:rPr>
        <w:t>eligibility is not contingent on the recipient’s employment status.”.</w:t>
      </w:r>
    </w:p>
    <w:bookmarkEnd w:id="4"/>
    <w:p w14:paraId="4697B23D" w14:textId="44F0ED57" w:rsidR="0013749D" w:rsidRDefault="0013749D" w:rsidP="003B6738">
      <w:pPr>
        <w:spacing w:line="480" w:lineRule="auto"/>
        <w:ind w:firstLine="720"/>
        <w:rPr>
          <w:szCs w:val="24"/>
        </w:rPr>
      </w:pPr>
      <w:r w:rsidRPr="001164CA">
        <w:rPr>
          <w:szCs w:val="24"/>
        </w:rPr>
        <w:t xml:space="preserve">Sec. </w:t>
      </w:r>
      <w:r w:rsidR="009C10B4">
        <w:rPr>
          <w:szCs w:val="24"/>
        </w:rPr>
        <w:t>4</w:t>
      </w:r>
      <w:r w:rsidRPr="0013749D">
        <w:rPr>
          <w:szCs w:val="24"/>
        </w:rPr>
        <w:t xml:space="preserve">. </w:t>
      </w:r>
      <w:r w:rsidR="0053376D">
        <w:rPr>
          <w:szCs w:val="24"/>
        </w:rPr>
        <w:t xml:space="preserve">Title 47 of the District of Columbia </w:t>
      </w:r>
      <w:r w:rsidR="00C34F0B">
        <w:rPr>
          <w:szCs w:val="24"/>
        </w:rPr>
        <w:t xml:space="preserve">Official </w:t>
      </w:r>
      <w:r w:rsidR="0053376D">
        <w:rPr>
          <w:szCs w:val="24"/>
        </w:rPr>
        <w:t>Code is amended as follows:</w:t>
      </w:r>
    </w:p>
    <w:p w14:paraId="14CB05EB" w14:textId="77777777" w:rsidR="009E50A3" w:rsidRDefault="009E50A3" w:rsidP="003B6738">
      <w:pPr>
        <w:spacing w:line="480" w:lineRule="auto"/>
        <w:ind w:firstLine="720"/>
        <w:rPr>
          <w:bCs/>
          <w:szCs w:val="24"/>
        </w:rPr>
      </w:pPr>
      <w:r w:rsidRPr="009E50A3">
        <w:rPr>
          <w:bCs/>
          <w:szCs w:val="24"/>
        </w:rPr>
        <w:t xml:space="preserve">(a) </w:t>
      </w:r>
      <w:r>
        <w:rPr>
          <w:bCs/>
          <w:szCs w:val="24"/>
        </w:rPr>
        <w:t xml:space="preserve">Section 47-2002.02(2) is amended as follows: </w:t>
      </w:r>
    </w:p>
    <w:p w14:paraId="0666D6F9" w14:textId="77777777" w:rsidR="009E50A3" w:rsidRDefault="009E50A3" w:rsidP="003B6738">
      <w:pPr>
        <w:spacing w:line="480" w:lineRule="auto"/>
        <w:ind w:firstLine="1440"/>
        <w:rPr>
          <w:szCs w:val="24"/>
        </w:rPr>
      </w:pPr>
      <w:r>
        <w:rPr>
          <w:szCs w:val="24"/>
        </w:rPr>
        <w:lastRenderedPageBreak/>
        <w:t xml:space="preserve">(1) Subparagraph (B) is amended by striking the phrase “; or” and inserting a semicolon in its place. </w:t>
      </w:r>
    </w:p>
    <w:p w14:paraId="0DD791CE" w14:textId="2E2A7095" w:rsidR="009E50A3" w:rsidRDefault="009E50A3" w:rsidP="003B6738">
      <w:pPr>
        <w:spacing w:line="480" w:lineRule="auto"/>
        <w:ind w:firstLine="1440"/>
        <w:rPr>
          <w:szCs w:val="24"/>
        </w:rPr>
      </w:pPr>
      <w:r>
        <w:rPr>
          <w:szCs w:val="24"/>
        </w:rPr>
        <w:t xml:space="preserve">(2) Subparagraph (C) is amended by striking the period and inserting </w:t>
      </w:r>
      <w:r w:rsidR="001A5D2C">
        <w:rPr>
          <w:szCs w:val="24"/>
        </w:rPr>
        <w:t xml:space="preserve">the </w:t>
      </w:r>
      <w:r>
        <w:rPr>
          <w:szCs w:val="24"/>
        </w:rPr>
        <w:t>phrase “; or” in its place.</w:t>
      </w:r>
    </w:p>
    <w:p w14:paraId="22014E86" w14:textId="1E06DFD6" w:rsidR="009E50A3" w:rsidRDefault="009E50A3" w:rsidP="003B6738">
      <w:pPr>
        <w:spacing w:line="480" w:lineRule="auto"/>
        <w:ind w:left="720" w:firstLine="720"/>
        <w:rPr>
          <w:szCs w:val="24"/>
        </w:rPr>
      </w:pPr>
      <w:r>
        <w:rPr>
          <w:szCs w:val="24"/>
        </w:rPr>
        <w:t>(3) A new subparagraph (D) is added to read as follows:</w:t>
      </w:r>
    </w:p>
    <w:p w14:paraId="272E377C" w14:textId="15C6D20B" w:rsidR="009E50A3" w:rsidRDefault="009E50A3" w:rsidP="003B6738">
      <w:pPr>
        <w:spacing w:line="480" w:lineRule="auto"/>
        <w:ind w:firstLine="2160"/>
        <w:rPr>
          <w:szCs w:val="24"/>
        </w:rPr>
      </w:pPr>
      <w:r>
        <w:rPr>
          <w:szCs w:val="24"/>
        </w:rPr>
        <w:t>“(D) Spirituous or malt liquors, beers, and wine sold by an alcoholic beverage licensee acting under authority of §§ 25-112(h)(1), 25-113(a)(3)(C), or 25-113.01(f) or (g).”.</w:t>
      </w:r>
    </w:p>
    <w:p w14:paraId="7F59F951" w14:textId="5CCB9FD3" w:rsidR="009E50A3" w:rsidRDefault="009E50A3" w:rsidP="003B6738">
      <w:pPr>
        <w:spacing w:line="480" w:lineRule="auto"/>
        <w:ind w:firstLine="720"/>
        <w:rPr>
          <w:bCs/>
          <w:szCs w:val="24"/>
        </w:rPr>
      </w:pPr>
      <w:r>
        <w:rPr>
          <w:bCs/>
          <w:szCs w:val="24"/>
        </w:rPr>
        <w:t>(b) Section 47-2202.01(2) is amended as follows:</w:t>
      </w:r>
    </w:p>
    <w:p w14:paraId="7AC8ABED" w14:textId="77777777" w:rsidR="009E50A3" w:rsidRDefault="009E50A3" w:rsidP="003B6738">
      <w:pPr>
        <w:spacing w:line="480" w:lineRule="auto"/>
        <w:ind w:firstLine="1440"/>
        <w:rPr>
          <w:szCs w:val="24"/>
        </w:rPr>
      </w:pPr>
      <w:r>
        <w:rPr>
          <w:szCs w:val="24"/>
        </w:rPr>
        <w:t xml:space="preserve">(1) Subparagraph (B) is amended by striking the phrase “; or” and inserting a semicolon in its place. </w:t>
      </w:r>
    </w:p>
    <w:p w14:paraId="7F78A47F" w14:textId="452BC3AD" w:rsidR="009E50A3" w:rsidRDefault="009E50A3" w:rsidP="003B6738">
      <w:pPr>
        <w:spacing w:line="480" w:lineRule="auto"/>
        <w:ind w:firstLine="1440"/>
        <w:rPr>
          <w:szCs w:val="24"/>
        </w:rPr>
      </w:pPr>
      <w:r>
        <w:rPr>
          <w:szCs w:val="24"/>
        </w:rPr>
        <w:t xml:space="preserve">(2) Subparagraph (C) is amended by striking the period and inserting </w:t>
      </w:r>
      <w:r w:rsidR="001A5D2C">
        <w:rPr>
          <w:szCs w:val="24"/>
        </w:rPr>
        <w:t xml:space="preserve">the </w:t>
      </w:r>
      <w:r>
        <w:rPr>
          <w:szCs w:val="24"/>
        </w:rPr>
        <w:t>phrase “; or” in its place.</w:t>
      </w:r>
    </w:p>
    <w:p w14:paraId="524B90A6" w14:textId="77777777" w:rsidR="009E50A3" w:rsidRDefault="009E50A3" w:rsidP="003B6738">
      <w:pPr>
        <w:spacing w:line="480" w:lineRule="auto"/>
        <w:ind w:left="720" w:firstLine="720"/>
        <w:rPr>
          <w:szCs w:val="24"/>
        </w:rPr>
      </w:pPr>
      <w:r>
        <w:rPr>
          <w:szCs w:val="24"/>
        </w:rPr>
        <w:t>(3) A new subparagraph (D) is added to read as follows:</w:t>
      </w:r>
    </w:p>
    <w:p w14:paraId="6AA1E11B" w14:textId="2C85F03D" w:rsidR="009E50A3" w:rsidRDefault="009E50A3" w:rsidP="003B6738">
      <w:pPr>
        <w:spacing w:line="480" w:lineRule="auto"/>
        <w:ind w:firstLine="2160"/>
        <w:rPr>
          <w:szCs w:val="24"/>
        </w:rPr>
      </w:pPr>
      <w:r>
        <w:rPr>
          <w:szCs w:val="24"/>
        </w:rPr>
        <w:t>“(D) Spirituous or malt liquors, beers, and wine sold by an alcoholic beverage licensee acting under authority of §§ 25-112(h)(1), 25-113(a)(3)(C), or 25-113.01(f) or (g).”.</w:t>
      </w:r>
    </w:p>
    <w:p w14:paraId="38FD9BDA" w14:textId="0271C31A" w:rsidR="00D43F0F" w:rsidRDefault="00ED45B2" w:rsidP="003B6738">
      <w:pPr>
        <w:spacing w:line="480" w:lineRule="auto"/>
        <w:rPr>
          <w:szCs w:val="24"/>
        </w:rPr>
      </w:pPr>
      <w:r>
        <w:rPr>
          <w:szCs w:val="24"/>
        </w:rPr>
        <w:tab/>
      </w:r>
      <w:bookmarkStart w:id="5" w:name="_Hlk51057528"/>
      <w:r w:rsidR="00E7723A" w:rsidRPr="001164CA">
        <w:rPr>
          <w:szCs w:val="24"/>
        </w:rPr>
        <w:t xml:space="preserve">Sec. </w:t>
      </w:r>
      <w:r w:rsidR="009C10B4">
        <w:rPr>
          <w:szCs w:val="24"/>
        </w:rPr>
        <w:t>5</w:t>
      </w:r>
      <w:r w:rsidR="00E7723A" w:rsidRPr="001164CA">
        <w:rPr>
          <w:szCs w:val="24"/>
        </w:rPr>
        <w:t>.</w:t>
      </w:r>
      <w:r w:rsidR="00E7723A">
        <w:rPr>
          <w:szCs w:val="24"/>
        </w:rPr>
        <w:t xml:space="preserve"> </w:t>
      </w:r>
      <w:r w:rsidR="00E7723A" w:rsidRPr="00E7723A">
        <w:rPr>
          <w:szCs w:val="24"/>
        </w:rPr>
        <w:t xml:space="preserve">Section 6(j)(3)(F) of the District of Columbia Traffic Act, 1925, approved March 3, 1925 (43 Stat. 1121; D.C. Official Code § 50-2201.03(j)(3)(F)), is amended by striking the phrase “described in </w:t>
      </w:r>
      <w:r w:rsidR="00737BBE">
        <w:rPr>
          <w:szCs w:val="24"/>
        </w:rPr>
        <w:t xml:space="preserve">section 125(3)(C) of the District of Columbia Sales Tax Act, approved May </w:t>
      </w:r>
      <w:r w:rsidR="00737BBE">
        <w:rPr>
          <w:szCs w:val="24"/>
        </w:rPr>
        <w:lastRenderedPageBreak/>
        <w:t xml:space="preserve">27, 1949 (63 Stat. 115; D.C. Official Code </w:t>
      </w:r>
      <w:r w:rsidR="00737BBE" w:rsidRPr="00E7723A">
        <w:rPr>
          <w:szCs w:val="24"/>
        </w:rPr>
        <w:t>§</w:t>
      </w:r>
      <w:r w:rsidR="00737BBE">
        <w:rPr>
          <w:szCs w:val="24"/>
        </w:rPr>
        <w:t xml:space="preserve"> 47-2002(3)(C))</w:t>
      </w:r>
      <w:r w:rsidR="00E7723A" w:rsidRPr="00E7723A">
        <w:rPr>
          <w:szCs w:val="24"/>
        </w:rPr>
        <w:t>” and inserting the ph</w:t>
      </w:r>
      <w:r w:rsidR="001A5D2C">
        <w:rPr>
          <w:szCs w:val="24"/>
        </w:rPr>
        <w:t>r</w:t>
      </w:r>
      <w:r w:rsidR="00E7723A" w:rsidRPr="00E7723A">
        <w:rPr>
          <w:szCs w:val="24"/>
        </w:rPr>
        <w:t xml:space="preserve">ase “described in </w:t>
      </w:r>
      <w:r w:rsidR="00737BBE">
        <w:rPr>
          <w:szCs w:val="24"/>
        </w:rPr>
        <w:t xml:space="preserve">D.C. Official Code </w:t>
      </w:r>
      <w:r w:rsidR="00E7723A" w:rsidRPr="00E7723A">
        <w:rPr>
          <w:szCs w:val="24"/>
        </w:rPr>
        <w:t>§</w:t>
      </w:r>
      <w:r w:rsidR="00737BBE" w:rsidRPr="00E7723A">
        <w:rPr>
          <w:szCs w:val="24"/>
        </w:rPr>
        <w:t>§</w:t>
      </w:r>
      <w:r w:rsidR="00E7723A" w:rsidRPr="00E7723A">
        <w:rPr>
          <w:szCs w:val="24"/>
        </w:rPr>
        <w:t xml:space="preserve"> 47-2002(a)(4B) and 47-2002.02(2)</w:t>
      </w:r>
      <w:r w:rsidR="00CE2095">
        <w:rPr>
          <w:szCs w:val="24"/>
        </w:rPr>
        <w:t>(C)</w:t>
      </w:r>
      <w:r w:rsidR="00E7723A" w:rsidRPr="00E7723A">
        <w:rPr>
          <w:szCs w:val="24"/>
        </w:rPr>
        <w:t>” in its place.</w:t>
      </w:r>
    </w:p>
    <w:p w14:paraId="470808E9" w14:textId="4BF3C3B4" w:rsidR="00D43F0F" w:rsidRDefault="00D43F0F" w:rsidP="003B6738">
      <w:pPr>
        <w:spacing w:line="480" w:lineRule="auto"/>
        <w:ind w:firstLine="720"/>
        <w:rPr>
          <w:szCs w:val="24"/>
        </w:rPr>
      </w:pPr>
      <w:r>
        <w:rPr>
          <w:szCs w:val="24"/>
        </w:rPr>
        <w:t xml:space="preserve">Sec. </w:t>
      </w:r>
      <w:r w:rsidR="009C10B4">
        <w:rPr>
          <w:szCs w:val="24"/>
        </w:rPr>
        <w:t>6</w:t>
      </w:r>
      <w:r>
        <w:rPr>
          <w:szCs w:val="24"/>
        </w:rPr>
        <w:t>. Chief Financial Officer collection of fees and processing costs.</w:t>
      </w:r>
    </w:p>
    <w:p w14:paraId="1A4AB1CE" w14:textId="77777777" w:rsidR="00D43F0F" w:rsidRDefault="00D43F0F" w:rsidP="003B6738">
      <w:pPr>
        <w:spacing w:line="480" w:lineRule="auto"/>
        <w:ind w:firstLine="720"/>
        <w:rPr>
          <w:szCs w:val="24"/>
        </w:rPr>
      </w:pPr>
      <w:r>
        <w:rPr>
          <w:szCs w:val="24"/>
        </w:rPr>
        <w:t xml:space="preserve">(a) For any payment made by credit card or other electronic payment method, the Chief Financial Officer may impose any fee or processing cost related to the transfer or payment method. </w:t>
      </w:r>
    </w:p>
    <w:p w14:paraId="7D08BE1F" w14:textId="3E93F989" w:rsidR="00ED45B2" w:rsidRDefault="00D43F0F" w:rsidP="003B6738">
      <w:pPr>
        <w:spacing w:line="480" w:lineRule="auto"/>
        <w:ind w:firstLine="720"/>
        <w:rPr>
          <w:szCs w:val="24"/>
        </w:rPr>
      </w:pPr>
      <w:r>
        <w:rPr>
          <w:szCs w:val="24"/>
        </w:rPr>
        <w:t>(b) The Office of the Chief Financial Officer may promulgate regulations to implement the provisions of this section.</w:t>
      </w:r>
      <w:r w:rsidR="00E7723A" w:rsidRPr="00E7723A">
        <w:rPr>
          <w:szCs w:val="24"/>
        </w:rPr>
        <w:t xml:space="preserve"> </w:t>
      </w:r>
    </w:p>
    <w:bookmarkEnd w:id="1"/>
    <w:bookmarkEnd w:id="5"/>
    <w:p w14:paraId="0D0229CB" w14:textId="138073AD" w:rsidR="009C10B4" w:rsidRDefault="009C10B4" w:rsidP="009C10B4">
      <w:pPr>
        <w:spacing w:line="480" w:lineRule="auto"/>
        <w:ind w:firstLine="720"/>
      </w:pPr>
      <w:r w:rsidRPr="00246135">
        <w:rPr>
          <w:szCs w:val="24"/>
        </w:rPr>
        <w:t xml:space="preserve">Sec. </w:t>
      </w:r>
      <w:r>
        <w:rPr>
          <w:szCs w:val="24"/>
        </w:rPr>
        <w:t>7</w:t>
      </w:r>
      <w:r w:rsidRPr="00246135">
        <w:rPr>
          <w:szCs w:val="24"/>
        </w:rPr>
        <w:t xml:space="preserve">. </w:t>
      </w:r>
      <w:r>
        <w:rPr>
          <w:szCs w:val="24"/>
        </w:rPr>
        <w:t xml:space="preserve">Section 2192(d) of the Fiscal Year 2021 Budget Support Congressional Review Emergency Act of 2020, effective October 26, 2020 (D.C. Act 23-426; 67 DCR 12848), is </w:t>
      </w:r>
      <w:r>
        <w:t>repealed.</w:t>
      </w:r>
    </w:p>
    <w:p w14:paraId="48F731DC" w14:textId="1412FC3B" w:rsidR="009C10B4" w:rsidRDefault="009C10B4" w:rsidP="009C10B4">
      <w:pPr>
        <w:spacing w:line="480" w:lineRule="auto"/>
        <w:ind w:firstLine="720"/>
      </w:pPr>
      <w:r>
        <w:t xml:space="preserve">Sec. </w:t>
      </w:r>
      <w:r>
        <w:t>8</w:t>
      </w:r>
      <w:r>
        <w:t>. Section 2(a)(3) and (b) of the Fiscal Year 2021 Budget Support Clarification Temporary Amendment Act of 2020, enacted on October 28, 2020 (D.C. Act 23-447; 67 DCR 13036), is repealed.</w:t>
      </w:r>
    </w:p>
    <w:p w14:paraId="54B72068" w14:textId="41E27B1B" w:rsidR="00D77F06" w:rsidRPr="001164CA" w:rsidRDefault="00D77F06" w:rsidP="009C10B4">
      <w:pPr>
        <w:spacing w:line="480" w:lineRule="auto"/>
        <w:ind w:firstLine="720"/>
        <w:rPr>
          <w:szCs w:val="24"/>
        </w:rPr>
      </w:pPr>
      <w:r w:rsidRPr="001164CA">
        <w:rPr>
          <w:szCs w:val="24"/>
        </w:rPr>
        <w:t xml:space="preserve">Sec. </w:t>
      </w:r>
      <w:r w:rsidR="003357FC">
        <w:rPr>
          <w:szCs w:val="24"/>
        </w:rPr>
        <w:t>9</w:t>
      </w:r>
      <w:r w:rsidRPr="001164CA">
        <w:rPr>
          <w:szCs w:val="24"/>
        </w:rPr>
        <w:t>. Applicability.</w:t>
      </w:r>
    </w:p>
    <w:p w14:paraId="4BA012EE" w14:textId="28998AAF" w:rsidR="00D77F06" w:rsidRDefault="00D77F06" w:rsidP="003B6738">
      <w:pPr>
        <w:spacing w:line="480" w:lineRule="auto"/>
      </w:pPr>
      <w:r w:rsidRPr="001164CA">
        <w:rPr>
          <w:szCs w:val="24"/>
        </w:rPr>
        <w:tab/>
      </w:r>
      <w:r w:rsidR="00E4642F">
        <w:t>T</w:t>
      </w:r>
      <w:r w:rsidRPr="001164CA">
        <w:t xml:space="preserve">his act shall apply as of </w:t>
      </w:r>
      <w:r w:rsidR="003357FC">
        <w:t>December 29</w:t>
      </w:r>
      <w:r w:rsidRPr="001164CA">
        <w:t xml:space="preserve">, </w:t>
      </w:r>
      <w:r w:rsidR="00B25E28" w:rsidRPr="001164CA">
        <w:t>20</w:t>
      </w:r>
      <w:r w:rsidR="00B25E28">
        <w:t>20</w:t>
      </w:r>
      <w:r w:rsidRPr="001164CA">
        <w:t>.</w:t>
      </w:r>
    </w:p>
    <w:p w14:paraId="7F23B1F7" w14:textId="256A272E" w:rsidR="00837CEC" w:rsidRPr="001164CA" w:rsidRDefault="00457B7F" w:rsidP="003B6738">
      <w:pPr>
        <w:spacing w:line="480" w:lineRule="auto"/>
        <w:ind w:firstLine="720"/>
        <w:rPr>
          <w:szCs w:val="24"/>
        </w:rPr>
      </w:pPr>
      <w:r w:rsidRPr="001164CA">
        <w:rPr>
          <w:szCs w:val="24"/>
        </w:rPr>
        <w:t xml:space="preserve">Sec. </w:t>
      </w:r>
      <w:r w:rsidR="003357FC">
        <w:rPr>
          <w:szCs w:val="24"/>
        </w:rPr>
        <w:t>10</w:t>
      </w:r>
      <w:r w:rsidRPr="001164CA">
        <w:rPr>
          <w:szCs w:val="24"/>
        </w:rPr>
        <w:t>.</w:t>
      </w:r>
      <w:r w:rsidR="00837CEC" w:rsidRPr="001164CA">
        <w:rPr>
          <w:szCs w:val="24"/>
        </w:rPr>
        <w:t xml:space="preserve"> Fiscal impact statement.</w:t>
      </w:r>
    </w:p>
    <w:p w14:paraId="13AC47B5" w14:textId="4CBCD83F" w:rsidR="005B5674" w:rsidRPr="001164CA" w:rsidRDefault="00837CEC" w:rsidP="003B6738">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rPr>
          <w:szCs w:val="24"/>
        </w:rPr>
      </w:pPr>
      <w:r w:rsidRPr="001164CA">
        <w:rPr>
          <w:szCs w:val="24"/>
        </w:rPr>
        <w:tab/>
      </w:r>
      <w:r w:rsidR="005B5674" w:rsidRPr="001164CA">
        <w:rPr>
          <w:szCs w:val="24"/>
        </w:rPr>
        <w:t xml:space="preserve">The Council adopts the fiscal impact statement of the </w:t>
      </w:r>
      <w:r w:rsidR="00CE1ED7">
        <w:rPr>
          <w:szCs w:val="24"/>
        </w:rPr>
        <w:t xml:space="preserve">Budget Director </w:t>
      </w:r>
      <w:r w:rsidR="005B5674" w:rsidRPr="001164CA">
        <w:rPr>
          <w:szCs w:val="24"/>
        </w:rPr>
        <w:t>as the fiscal impact statement required by section 4a of the General Legislative Procedures Act of 1975, approved October 16, 2006 (120 Stat. 2038; D.C. Official Code § 1-301.47a).</w:t>
      </w:r>
    </w:p>
    <w:p w14:paraId="1F522588" w14:textId="746DCDC0" w:rsidR="00837CEC" w:rsidRDefault="005B5674" w:rsidP="003B6738">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rPr>
          <w:szCs w:val="24"/>
        </w:rPr>
      </w:pPr>
      <w:r w:rsidRPr="001164CA">
        <w:rPr>
          <w:szCs w:val="24"/>
        </w:rPr>
        <w:tab/>
      </w:r>
      <w:r w:rsidR="00457B7F" w:rsidRPr="001164CA">
        <w:rPr>
          <w:szCs w:val="24"/>
        </w:rPr>
        <w:t xml:space="preserve">Sec. </w:t>
      </w:r>
      <w:r w:rsidR="003357FC">
        <w:rPr>
          <w:szCs w:val="24"/>
        </w:rPr>
        <w:t>11</w:t>
      </w:r>
      <w:r w:rsidR="00457B7F" w:rsidRPr="001164CA">
        <w:rPr>
          <w:szCs w:val="24"/>
        </w:rPr>
        <w:t>.</w:t>
      </w:r>
      <w:r w:rsidR="00837CEC" w:rsidRPr="001164CA">
        <w:rPr>
          <w:szCs w:val="24"/>
        </w:rPr>
        <w:t xml:space="preserve"> Effective</w:t>
      </w:r>
      <w:r w:rsidR="00837CEC" w:rsidRPr="00FF0B40">
        <w:rPr>
          <w:szCs w:val="24"/>
        </w:rPr>
        <w:t xml:space="preserve"> date.</w:t>
      </w:r>
    </w:p>
    <w:p w14:paraId="7639D59E" w14:textId="15DE1F26" w:rsidR="00963D1B" w:rsidRDefault="00CE1ED7" w:rsidP="003B6738">
      <w:pPr>
        <w:spacing w:line="480" w:lineRule="auto"/>
        <w:ind w:firstLine="720"/>
        <w:rPr>
          <w:szCs w:val="24"/>
        </w:rPr>
      </w:pPr>
      <w:r w:rsidRPr="00D51BBE">
        <w:rPr>
          <w:szCs w:val="24"/>
        </w:rPr>
        <w:lastRenderedPageBreak/>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w:t>
      </w:r>
    </w:p>
    <w:p w14:paraId="3871515B" w14:textId="1B751881" w:rsidR="00CE1ED7" w:rsidRPr="00D06A47" w:rsidRDefault="00CE1ED7" w:rsidP="003B6738">
      <w:pPr>
        <w:spacing w:line="480" w:lineRule="auto"/>
        <w:rPr>
          <w:szCs w:val="24"/>
        </w:rPr>
      </w:pPr>
      <w:r w:rsidRPr="00D51BBE">
        <w:rPr>
          <w:szCs w:val="24"/>
        </w:rPr>
        <w:t>412(a) of the District of Columbia Home Rule Act, approved December 24, 1973 (87 Stat. 788; D.C. Official Code § 1-204.12(a)).</w:t>
      </w:r>
    </w:p>
    <w:p w14:paraId="3527DD7A" w14:textId="0A8AD556" w:rsidR="00F67478" w:rsidRPr="00837CEC" w:rsidRDefault="00F67478" w:rsidP="002F455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contextualSpacing/>
        <w:rPr>
          <w:szCs w:val="24"/>
        </w:rPr>
      </w:pPr>
    </w:p>
    <w:sectPr w:rsidR="00F67478" w:rsidRPr="00837CEC" w:rsidSect="003B6738">
      <w:headerReference w:type="default" r:id="rId11"/>
      <w:footerReference w:type="default" r:id="rId12"/>
      <w:pgSz w:w="12240" w:h="15840"/>
      <w:pgMar w:top="1440" w:right="1440" w:bottom="1440" w:left="1440" w:header="1440" w:footer="158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AF507" w14:textId="77777777" w:rsidR="00471E55" w:rsidRDefault="00471E55" w:rsidP="00430A32">
      <w:r>
        <w:separator/>
      </w:r>
    </w:p>
  </w:endnote>
  <w:endnote w:type="continuationSeparator" w:id="0">
    <w:p w14:paraId="521C7579" w14:textId="77777777" w:rsidR="00471E55" w:rsidRDefault="00471E55" w:rsidP="0043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40184"/>
      <w:docPartObj>
        <w:docPartGallery w:val="Page Numbers (Bottom of Page)"/>
        <w:docPartUnique/>
      </w:docPartObj>
    </w:sdtPr>
    <w:sdtEndPr>
      <w:rPr>
        <w:noProof/>
      </w:rPr>
    </w:sdtEndPr>
    <w:sdtContent>
      <w:p w14:paraId="015A696A" w14:textId="584E3191" w:rsidR="004556F7" w:rsidRDefault="004556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3D3DBA" w14:textId="77777777" w:rsidR="004556F7" w:rsidRDefault="0045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DE4B3" w14:textId="77777777" w:rsidR="00471E55" w:rsidRDefault="00471E55" w:rsidP="00430A32">
      <w:r>
        <w:separator/>
      </w:r>
    </w:p>
  </w:footnote>
  <w:footnote w:type="continuationSeparator" w:id="0">
    <w:p w14:paraId="388D119C" w14:textId="77777777" w:rsidR="00471E55" w:rsidRDefault="00471E55" w:rsidP="00430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708A" w14:textId="77777777" w:rsidR="00E33CFD" w:rsidRDefault="00603347">
    <w:pPr>
      <w:pStyle w:val="Header"/>
    </w:pPr>
    <w:r>
      <w:t>DRAFT</w:t>
    </w:r>
  </w:p>
  <w:p w14:paraId="43EA0416" w14:textId="59D7399F" w:rsidR="002F4556" w:rsidRDefault="002F455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2A48"/>
    <w:multiLevelType w:val="hybridMultilevel"/>
    <w:tmpl w:val="3E944748"/>
    <w:lvl w:ilvl="0" w:tplc="10029E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074FC"/>
    <w:multiLevelType w:val="hybridMultilevel"/>
    <w:tmpl w:val="087E4A28"/>
    <w:lvl w:ilvl="0" w:tplc="A35EC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51F0B"/>
    <w:multiLevelType w:val="hybridMultilevel"/>
    <w:tmpl w:val="347849EA"/>
    <w:lvl w:ilvl="0" w:tplc="F6026E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D33071"/>
    <w:multiLevelType w:val="hybridMultilevel"/>
    <w:tmpl w:val="538EE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91725B"/>
    <w:multiLevelType w:val="hybridMultilevel"/>
    <w:tmpl w:val="26F024BC"/>
    <w:lvl w:ilvl="0" w:tplc="5650A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15681F"/>
    <w:multiLevelType w:val="hybridMultilevel"/>
    <w:tmpl w:val="73724218"/>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99B0FA8"/>
    <w:multiLevelType w:val="hybridMultilevel"/>
    <w:tmpl w:val="6F2ED436"/>
    <w:lvl w:ilvl="0" w:tplc="A52056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DD"/>
    <w:rsid w:val="00005093"/>
    <w:rsid w:val="000054B7"/>
    <w:rsid w:val="00013011"/>
    <w:rsid w:val="00025B6B"/>
    <w:rsid w:val="00034241"/>
    <w:rsid w:val="00044C2B"/>
    <w:rsid w:val="00065A3C"/>
    <w:rsid w:val="000C2DDD"/>
    <w:rsid w:val="000C62ED"/>
    <w:rsid w:val="000C6654"/>
    <w:rsid w:val="000D5471"/>
    <w:rsid w:val="001164CA"/>
    <w:rsid w:val="00135D0E"/>
    <w:rsid w:val="0013749D"/>
    <w:rsid w:val="00143F35"/>
    <w:rsid w:val="001536AC"/>
    <w:rsid w:val="00155EAD"/>
    <w:rsid w:val="00160B96"/>
    <w:rsid w:val="00167801"/>
    <w:rsid w:val="00176762"/>
    <w:rsid w:val="00177829"/>
    <w:rsid w:val="00182459"/>
    <w:rsid w:val="00186EA5"/>
    <w:rsid w:val="001A5D2C"/>
    <w:rsid w:val="001A6070"/>
    <w:rsid w:val="001B1CFE"/>
    <w:rsid w:val="001B20EC"/>
    <w:rsid w:val="001C2ACB"/>
    <w:rsid w:val="001D74B0"/>
    <w:rsid w:val="001F359E"/>
    <w:rsid w:val="00206D8F"/>
    <w:rsid w:val="00210A38"/>
    <w:rsid w:val="00215130"/>
    <w:rsid w:val="00227420"/>
    <w:rsid w:val="00230EAC"/>
    <w:rsid w:val="002369B8"/>
    <w:rsid w:val="002432B8"/>
    <w:rsid w:val="00253739"/>
    <w:rsid w:val="00270BF8"/>
    <w:rsid w:val="00272F71"/>
    <w:rsid w:val="002C7BDA"/>
    <w:rsid w:val="002F4556"/>
    <w:rsid w:val="00310FE8"/>
    <w:rsid w:val="0031648D"/>
    <w:rsid w:val="003220FC"/>
    <w:rsid w:val="003357FC"/>
    <w:rsid w:val="00346F53"/>
    <w:rsid w:val="00364187"/>
    <w:rsid w:val="003809F4"/>
    <w:rsid w:val="003902FB"/>
    <w:rsid w:val="0039295C"/>
    <w:rsid w:val="003A0818"/>
    <w:rsid w:val="003A782A"/>
    <w:rsid w:val="003B0F78"/>
    <w:rsid w:val="003B2F90"/>
    <w:rsid w:val="003B6738"/>
    <w:rsid w:val="003C6C60"/>
    <w:rsid w:val="003E686C"/>
    <w:rsid w:val="003F4520"/>
    <w:rsid w:val="003F628E"/>
    <w:rsid w:val="004256A0"/>
    <w:rsid w:val="00430A32"/>
    <w:rsid w:val="00440E72"/>
    <w:rsid w:val="00447B8B"/>
    <w:rsid w:val="00453D69"/>
    <w:rsid w:val="004556F7"/>
    <w:rsid w:val="00457B7F"/>
    <w:rsid w:val="00466C18"/>
    <w:rsid w:val="004709F5"/>
    <w:rsid w:val="00471E55"/>
    <w:rsid w:val="00492924"/>
    <w:rsid w:val="00496899"/>
    <w:rsid w:val="004A32B9"/>
    <w:rsid w:val="004A7426"/>
    <w:rsid w:val="004B7A26"/>
    <w:rsid w:val="004C5A63"/>
    <w:rsid w:val="004D2738"/>
    <w:rsid w:val="004F3AAB"/>
    <w:rsid w:val="00500314"/>
    <w:rsid w:val="00526B3C"/>
    <w:rsid w:val="005271DA"/>
    <w:rsid w:val="0053376D"/>
    <w:rsid w:val="0056521F"/>
    <w:rsid w:val="00576A0A"/>
    <w:rsid w:val="005B06D7"/>
    <w:rsid w:val="005B5674"/>
    <w:rsid w:val="005C3FC5"/>
    <w:rsid w:val="005C6CB0"/>
    <w:rsid w:val="005E351A"/>
    <w:rsid w:val="005F658C"/>
    <w:rsid w:val="00603347"/>
    <w:rsid w:val="00617912"/>
    <w:rsid w:val="00623C89"/>
    <w:rsid w:val="00655B28"/>
    <w:rsid w:val="00667612"/>
    <w:rsid w:val="006803CD"/>
    <w:rsid w:val="00685A30"/>
    <w:rsid w:val="006941CF"/>
    <w:rsid w:val="006A360E"/>
    <w:rsid w:val="006B2FA1"/>
    <w:rsid w:val="006C2C4D"/>
    <w:rsid w:val="006E1B6B"/>
    <w:rsid w:val="006E7554"/>
    <w:rsid w:val="00715C72"/>
    <w:rsid w:val="0072077C"/>
    <w:rsid w:val="00737BBE"/>
    <w:rsid w:val="0074657F"/>
    <w:rsid w:val="0077474E"/>
    <w:rsid w:val="00782E48"/>
    <w:rsid w:val="007B047E"/>
    <w:rsid w:val="007C3CA5"/>
    <w:rsid w:val="007F07A4"/>
    <w:rsid w:val="0082044C"/>
    <w:rsid w:val="0083564A"/>
    <w:rsid w:val="008373A1"/>
    <w:rsid w:val="00837CEC"/>
    <w:rsid w:val="008540D5"/>
    <w:rsid w:val="00865B25"/>
    <w:rsid w:val="00866858"/>
    <w:rsid w:val="00882A71"/>
    <w:rsid w:val="00885B1A"/>
    <w:rsid w:val="008879BA"/>
    <w:rsid w:val="00887A29"/>
    <w:rsid w:val="008971E7"/>
    <w:rsid w:val="008A154D"/>
    <w:rsid w:val="008A1620"/>
    <w:rsid w:val="008A43FC"/>
    <w:rsid w:val="008C443B"/>
    <w:rsid w:val="008C6CE5"/>
    <w:rsid w:val="008F62FE"/>
    <w:rsid w:val="00904639"/>
    <w:rsid w:val="0091106D"/>
    <w:rsid w:val="00915042"/>
    <w:rsid w:val="00923273"/>
    <w:rsid w:val="00930759"/>
    <w:rsid w:val="0093121C"/>
    <w:rsid w:val="00944ADF"/>
    <w:rsid w:val="00944EFC"/>
    <w:rsid w:val="00963565"/>
    <w:rsid w:val="00963D1B"/>
    <w:rsid w:val="00986EAF"/>
    <w:rsid w:val="009A76AE"/>
    <w:rsid w:val="009C10B4"/>
    <w:rsid w:val="009D00D5"/>
    <w:rsid w:val="009D49B6"/>
    <w:rsid w:val="009E50A3"/>
    <w:rsid w:val="00A1390F"/>
    <w:rsid w:val="00A30D25"/>
    <w:rsid w:val="00A33C75"/>
    <w:rsid w:val="00A435CC"/>
    <w:rsid w:val="00A44A22"/>
    <w:rsid w:val="00A55626"/>
    <w:rsid w:val="00A727BB"/>
    <w:rsid w:val="00AC66D9"/>
    <w:rsid w:val="00AD5301"/>
    <w:rsid w:val="00AE521C"/>
    <w:rsid w:val="00B04744"/>
    <w:rsid w:val="00B0690D"/>
    <w:rsid w:val="00B11A42"/>
    <w:rsid w:val="00B24092"/>
    <w:rsid w:val="00B25E28"/>
    <w:rsid w:val="00B31F82"/>
    <w:rsid w:val="00B34680"/>
    <w:rsid w:val="00B35F6D"/>
    <w:rsid w:val="00B454BA"/>
    <w:rsid w:val="00B52D00"/>
    <w:rsid w:val="00B637A2"/>
    <w:rsid w:val="00B639BE"/>
    <w:rsid w:val="00B63E1C"/>
    <w:rsid w:val="00B74A09"/>
    <w:rsid w:val="00B80190"/>
    <w:rsid w:val="00B93C90"/>
    <w:rsid w:val="00BA4009"/>
    <w:rsid w:val="00BA439E"/>
    <w:rsid w:val="00BA476A"/>
    <w:rsid w:val="00BD72C8"/>
    <w:rsid w:val="00BE0F67"/>
    <w:rsid w:val="00BF281A"/>
    <w:rsid w:val="00C028A7"/>
    <w:rsid w:val="00C04FA1"/>
    <w:rsid w:val="00C34F0B"/>
    <w:rsid w:val="00C616E2"/>
    <w:rsid w:val="00C876A9"/>
    <w:rsid w:val="00C938C1"/>
    <w:rsid w:val="00C95FF8"/>
    <w:rsid w:val="00C97A0B"/>
    <w:rsid w:val="00CA2BEE"/>
    <w:rsid w:val="00CA5F26"/>
    <w:rsid w:val="00CB4EB0"/>
    <w:rsid w:val="00CC2E99"/>
    <w:rsid w:val="00CD0D97"/>
    <w:rsid w:val="00CD7F17"/>
    <w:rsid w:val="00CE1ED7"/>
    <w:rsid w:val="00CE2095"/>
    <w:rsid w:val="00CE330C"/>
    <w:rsid w:val="00D01955"/>
    <w:rsid w:val="00D019FD"/>
    <w:rsid w:val="00D07410"/>
    <w:rsid w:val="00D304AC"/>
    <w:rsid w:val="00D352F6"/>
    <w:rsid w:val="00D43F0F"/>
    <w:rsid w:val="00D77F06"/>
    <w:rsid w:val="00DC6F46"/>
    <w:rsid w:val="00E24F90"/>
    <w:rsid w:val="00E31FC6"/>
    <w:rsid w:val="00E33CFD"/>
    <w:rsid w:val="00E35157"/>
    <w:rsid w:val="00E4642F"/>
    <w:rsid w:val="00E4660A"/>
    <w:rsid w:val="00E51E2D"/>
    <w:rsid w:val="00E5420E"/>
    <w:rsid w:val="00E5762A"/>
    <w:rsid w:val="00E61942"/>
    <w:rsid w:val="00E67391"/>
    <w:rsid w:val="00E7723A"/>
    <w:rsid w:val="00E91CCF"/>
    <w:rsid w:val="00E96551"/>
    <w:rsid w:val="00E9754B"/>
    <w:rsid w:val="00EA0E69"/>
    <w:rsid w:val="00EA1EF2"/>
    <w:rsid w:val="00EC6AA7"/>
    <w:rsid w:val="00ED45B2"/>
    <w:rsid w:val="00EE7579"/>
    <w:rsid w:val="00EF3C69"/>
    <w:rsid w:val="00F10B34"/>
    <w:rsid w:val="00F26654"/>
    <w:rsid w:val="00F45CA9"/>
    <w:rsid w:val="00F45FC0"/>
    <w:rsid w:val="00F45FF8"/>
    <w:rsid w:val="00F67478"/>
    <w:rsid w:val="00F701C0"/>
    <w:rsid w:val="00F73928"/>
    <w:rsid w:val="00F73ECE"/>
    <w:rsid w:val="00FA21B7"/>
    <w:rsid w:val="00FA4408"/>
    <w:rsid w:val="00FE06D1"/>
    <w:rsid w:val="00FF039D"/>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D9F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DD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2DDD"/>
    <w:pPr>
      <w:spacing w:after="120"/>
    </w:pPr>
  </w:style>
  <w:style w:type="character" w:customStyle="1" w:styleId="BodyTextChar">
    <w:name w:val="Body Text Char"/>
    <w:basedOn w:val="DefaultParagraphFont"/>
    <w:link w:val="BodyText"/>
    <w:rsid w:val="000C2DDD"/>
    <w:rPr>
      <w:rFonts w:ascii="Times New Roman" w:eastAsia="Times New Roman" w:hAnsi="Times New Roman" w:cs="Times New Roman"/>
      <w:sz w:val="24"/>
      <w:szCs w:val="20"/>
    </w:rPr>
  </w:style>
  <w:style w:type="paragraph" w:styleId="NormalWeb">
    <w:name w:val="Normal (Web)"/>
    <w:basedOn w:val="Normal"/>
    <w:uiPriority w:val="99"/>
    <w:unhideWhenUsed/>
    <w:rsid w:val="000C2DDD"/>
    <w:rPr>
      <w:rFonts w:ascii="Calibri" w:eastAsiaTheme="minorHAnsi" w:hAnsi="Calibri" w:cs="Calibri"/>
      <w:sz w:val="22"/>
      <w:szCs w:val="22"/>
    </w:rPr>
  </w:style>
  <w:style w:type="paragraph" w:styleId="PlainText">
    <w:name w:val="Plain Text"/>
    <w:basedOn w:val="Normal"/>
    <w:link w:val="PlainTextChar"/>
    <w:uiPriority w:val="99"/>
    <w:unhideWhenUsed/>
    <w:rsid w:val="000C2D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C2DDD"/>
    <w:rPr>
      <w:rFonts w:ascii="Calibri" w:hAnsi="Calibri"/>
      <w:szCs w:val="21"/>
    </w:rPr>
  </w:style>
  <w:style w:type="character" w:styleId="LineNumber">
    <w:name w:val="line number"/>
    <w:basedOn w:val="DefaultParagraphFont"/>
    <w:uiPriority w:val="99"/>
    <w:semiHidden/>
    <w:unhideWhenUsed/>
    <w:rsid w:val="00837CEC"/>
  </w:style>
  <w:style w:type="paragraph" w:styleId="ListParagraph">
    <w:name w:val="List Paragraph"/>
    <w:basedOn w:val="Normal"/>
    <w:uiPriority w:val="34"/>
    <w:qFormat/>
    <w:rsid w:val="00B31F82"/>
    <w:pPr>
      <w:ind w:left="720"/>
      <w:contextualSpacing/>
    </w:pPr>
  </w:style>
  <w:style w:type="character" w:styleId="Hyperlink">
    <w:name w:val="Hyperlink"/>
    <w:basedOn w:val="DefaultParagraphFont"/>
    <w:uiPriority w:val="99"/>
    <w:semiHidden/>
    <w:unhideWhenUsed/>
    <w:rsid w:val="002369B8"/>
    <w:rPr>
      <w:color w:val="0563C1"/>
      <w:u w:val="single"/>
    </w:rPr>
  </w:style>
  <w:style w:type="paragraph" w:styleId="BlockText">
    <w:name w:val="Block Text"/>
    <w:basedOn w:val="Normal"/>
    <w:qFormat/>
    <w:rsid w:val="00623C89"/>
    <w:pPr>
      <w:spacing w:after="240"/>
    </w:pPr>
    <w:rPr>
      <w:rFonts w:eastAsiaTheme="minorEastAsia" w:cstheme="minorBidi"/>
      <w:iCs/>
      <w:szCs w:val="24"/>
    </w:rPr>
  </w:style>
  <w:style w:type="character" w:styleId="CommentReference">
    <w:name w:val="annotation reference"/>
    <w:basedOn w:val="DefaultParagraphFont"/>
    <w:uiPriority w:val="99"/>
    <w:semiHidden/>
    <w:unhideWhenUsed/>
    <w:rsid w:val="00623C89"/>
    <w:rPr>
      <w:sz w:val="16"/>
      <w:szCs w:val="16"/>
    </w:rPr>
  </w:style>
  <w:style w:type="paragraph" w:styleId="CommentText">
    <w:name w:val="annotation text"/>
    <w:basedOn w:val="Normal"/>
    <w:link w:val="CommentTextChar"/>
    <w:uiPriority w:val="99"/>
    <w:semiHidden/>
    <w:unhideWhenUsed/>
    <w:rsid w:val="00623C89"/>
    <w:rPr>
      <w:sz w:val="20"/>
    </w:rPr>
  </w:style>
  <w:style w:type="character" w:customStyle="1" w:styleId="CommentTextChar">
    <w:name w:val="Comment Text Char"/>
    <w:basedOn w:val="DefaultParagraphFont"/>
    <w:link w:val="CommentText"/>
    <w:uiPriority w:val="99"/>
    <w:semiHidden/>
    <w:rsid w:val="00623C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3C89"/>
    <w:rPr>
      <w:b/>
      <w:bCs/>
    </w:rPr>
  </w:style>
  <w:style w:type="character" w:customStyle="1" w:styleId="CommentSubjectChar">
    <w:name w:val="Comment Subject Char"/>
    <w:basedOn w:val="CommentTextChar"/>
    <w:link w:val="CommentSubject"/>
    <w:uiPriority w:val="99"/>
    <w:semiHidden/>
    <w:rsid w:val="00623C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3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89"/>
    <w:rPr>
      <w:rFonts w:ascii="Segoe UI" w:eastAsia="Times New Roman" w:hAnsi="Segoe UI" w:cs="Segoe UI"/>
      <w:sz w:val="18"/>
      <w:szCs w:val="18"/>
    </w:rPr>
  </w:style>
  <w:style w:type="paragraph" w:customStyle="1" w:styleId="Default">
    <w:name w:val="Default"/>
    <w:rsid w:val="005C3FC5"/>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level-num">
    <w:name w:val="level-num"/>
    <w:basedOn w:val="DefaultParagraphFont"/>
    <w:rsid w:val="00FF039D"/>
  </w:style>
  <w:style w:type="paragraph" w:customStyle="1" w:styleId="text-indent-2">
    <w:name w:val="text-indent-2"/>
    <w:basedOn w:val="Normal"/>
    <w:rsid w:val="00FF039D"/>
    <w:pPr>
      <w:spacing w:before="100" w:beforeAutospacing="1" w:after="100" w:afterAutospacing="1"/>
    </w:pPr>
    <w:rPr>
      <w:szCs w:val="24"/>
    </w:rPr>
  </w:style>
  <w:style w:type="paragraph" w:customStyle="1" w:styleId="text-indent-3">
    <w:name w:val="text-indent-3"/>
    <w:basedOn w:val="Normal"/>
    <w:rsid w:val="00FF039D"/>
    <w:pPr>
      <w:spacing w:before="100" w:beforeAutospacing="1" w:after="100" w:afterAutospacing="1"/>
    </w:pPr>
    <w:rPr>
      <w:szCs w:val="24"/>
    </w:rPr>
  </w:style>
  <w:style w:type="paragraph" w:styleId="Revision">
    <w:name w:val="Revision"/>
    <w:hidden/>
    <w:uiPriority w:val="99"/>
    <w:semiHidden/>
    <w:rsid w:val="00C97A0B"/>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30A32"/>
    <w:pPr>
      <w:tabs>
        <w:tab w:val="center" w:pos="4680"/>
        <w:tab w:val="right" w:pos="9360"/>
      </w:tabs>
    </w:pPr>
  </w:style>
  <w:style w:type="character" w:customStyle="1" w:styleId="HeaderChar">
    <w:name w:val="Header Char"/>
    <w:basedOn w:val="DefaultParagraphFont"/>
    <w:link w:val="Header"/>
    <w:uiPriority w:val="99"/>
    <w:rsid w:val="00430A3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30A32"/>
    <w:pPr>
      <w:tabs>
        <w:tab w:val="center" w:pos="4680"/>
        <w:tab w:val="right" w:pos="9360"/>
      </w:tabs>
    </w:pPr>
  </w:style>
  <w:style w:type="character" w:customStyle="1" w:styleId="FooterChar">
    <w:name w:val="Footer Char"/>
    <w:basedOn w:val="DefaultParagraphFont"/>
    <w:link w:val="Footer"/>
    <w:uiPriority w:val="99"/>
    <w:rsid w:val="00430A3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8952">
      <w:bodyDiv w:val="1"/>
      <w:marLeft w:val="0"/>
      <w:marRight w:val="0"/>
      <w:marTop w:val="0"/>
      <w:marBottom w:val="0"/>
      <w:divBdr>
        <w:top w:val="none" w:sz="0" w:space="0" w:color="auto"/>
        <w:left w:val="none" w:sz="0" w:space="0" w:color="auto"/>
        <w:bottom w:val="none" w:sz="0" w:space="0" w:color="auto"/>
        <w:right w:val="none" w:sz="0" w:space="0" w:color="auto"/>
      </w:divBdr>
    </w:div>
    <w:div w:id="217665270">
      <w:bodyDiv w:val="1"/>
      <w:marLeft w:val="0"/>
      <w:marRight w:val="0"/>
      <w:marTop w:val="0"/>
      <w:marBottom w:val="0"/>
      <w:divBdr>
        <w:top w:val="none" w:sz="0" w:space="0" w:color="auto"/>
        <w:left w:val="none" w:sz="0" w:space="0" w:color="auto"/>
        <w:bottom w:val="none" w:sz="0" w:space="0" w:color="auto"/>
        <w:right w:val="none" w:sz="0" w:space="0" w:color="auto"/>
      </w:divBdr>
    </w:div>
    <w:div w:id="457796289">
      <w:bodyDiv w:val="1"/>
      <w:marLeft w:val="0"/>
      <w:marRight w:val="0"/>
      <w:marTop w:val="0"/>
      <w:marBottom w:val="0"/>
      <w:divBdr>
        <w:top w:val="none" w:sz="0" w:space="0" w:color="auto"/>
        <w:left w:val="none" w:sz="0" w:space="0" w:color="auto"/>
        <w:bottom w:val="none" w:sz="0" w:space="0" w:color="auto"/>
        <w:right w:val="none" w:sz="0" w:space="0" w:color="auto"/>
      </w:divBdr>
    </w:div>
    <w:div w:id="1130510105">
      <w:bodyDiv w:val="1"/>
      <w:marLeft w:val="0"/>
      <w:marRight w:val="0"/>
      <w:marTop w:val="0"/>
      <w:marBottom w:val="0"/>
      <w:divBdr>
        <w:top w:val="none" w:sz="0" w:space="0" w:color="auto"/>
        <w:left w:val="none" w:sz="0" w:space="0" w:color="auto"/>
        <w:bottom w:val="none" w:sz="0" w:space="0" w:color="auto"/>
        <w:right w:val="none" w:sz="0" w:space="0" w:color="auto"/>
      </w:divBdr>
    </w:div>
    <w:div w:id="1780180579">
      <w:bodyDiv w:val="1"/>
      <w:marLeft w:val="0"/>
      <w:marRight w:val="0"/>
      <w:marTop w:val="0"/>
      <w:marBottom w:val="0"/>
      <w:divBdr>
        <w:top w:val="none" w:sz="0" w:space="0" w:color="auto"/>
        <w:left w:val="none" w:sz="0" w:space="0" w:color="auto"/>
        <w:bottom w:val="none" w:sz="0" w:space="0" w:color="auto"/>
        <w:right w:val="none" w:sz="0" w:space="0" w:color="auto"/>
      </w:divBdr>
    </w:div>
    <w:div w:id="19426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CC71-1BBF-4FA3-BD5C-0A81EC950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9E570-FA68-41E4-8743-F97883B74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82963-2539-42F6-A743-EA03632BD4E9}">
  <ds:schemaRefs>
    <ds:schemaRef ds:uri="http://schemas.microsoft.com/sharepoint/v3/contenttype/forms"/>
  </ds:schemaRefs>
</ds:datastoreItem>
</file>

<file path=customXml/itemProps4.xml><?xml version="1.0" encoding="utf-8"?>
<ds:datastoreItem xmlns:ds="http://schemas.openxmlformats.org/officeDocument/2006/customXml" ds:itemID="{2B715D28-8009-46F0-8CE9-D7FE05C8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2020-11-25T14:00:00Z</dcterms:created>
  <dcterms:modified xsi:type="dcterms:W3CDTF">2020-11-25T15:14:00Z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