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7F74" w14:textId="222687AF" w:rsidR="00A05DBE" w:rsidRDefault="00A91AEE" w:rsidP="007A171C">
      <w:pPr>
        <w:jc w:val="right"/>
        <w:rPr>
          <w:sz w:val="24"/>
        </w:rPr>
      </w:pPr>
      <w:r>
        <w:rPr>
          <w:b/>
          <w:bCs/>
          <w:sz w:val="24"/>
        </w:rPr>
        <w:t>DRAFT</w:t>
      </w:r>
      <w:r w:rsidR="00A05DBE">
        <w:rPr>
          <w:sz w:val="24"/>
        </w:rPr>
        <w:t>____________</w:t>
      </w:r>
      <w:r w:rsidR="007A171C" w:rsidRPr="004D145A">
        <w:rPr>
          <w:sz w:val="24"/>
        </w:rPr>
        <w:t>_______________________</w:t>
      </w:r>
    </w:p>
    <w:p w14:paraId="59397304" w14:textId="72F2C311" w:rsidR="007A171C" w:rsidRPr="004D145A" w:rsidRDefault="00A05DBE" w:rsidP="00A05DBE">
      <w:pPr>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004A17A1">
        <w:rPr>
          <w:sz w:val="24"/>
        </w:rPr>
        <w:tab/>
      </w:r>
      <w:r w:rsidR="004A17A1">
        <w:rPr>
          <w:sz w:val="24"/>
        </w:rPr>
        <w:tab/>
      </w:r>
      <w:r w:rsidR="004A17A1">
        <w:rPr>
          <w:sz w:val="24"/>
        </w:rPr>
        <w:tab/>
      </w:r>
      <w:r w:rsidR="004A17A1">
        <w:rPr>
          <w:sz w:val="24"/>
        </w:rPr>
        <w:tab/>
      </w:r>
      <w:r w:rsidR="004A17A1">
        <w:rPr>
          <w:sz w:val="24"/>
        </w:rPr>
        <w:tab/>
      </w:r>
      <w:r w:rsidR="004A17A1">
        <w:rPr>
          <w:sz w:val="24"/>
        </w:rPr>
        <w:tab/>
      </w:r>
      <w:r w:rsidR="004A17A1">
        <w:rPr>
          <w:sz w:val="24"/>
        </w:rPr>
        <w:tab/>
      </w:r>
      <w:r>
        <w:rPr>
          <w:sz w:val="24"/>
        </w:rPr>
        <w:t xml:space="preserve"> </w:t>
      </w:r>
      <w:r w:rsidR="007A171C" w:rsidRPr="004D145A">
        <w:rPr>
          <w:sz w:val="24"/>
        </w:rPr>
        <w:t>Chairman Phil Mendelson</w:t>
      </w:r>
    </w:p>
    <w:p w14:paraId="36F4940B" w14:textId="77777777" w:rsidR="007A171C" w:rsidRPr="004D145A" w:rsidRDefault="007A171C">
      <w:pPr>
        <w:kinsoku w:val="0"/>
        <w:overflowPunct w:val="0"/>
        <w:autoSpaceDE/>
        <w:autoSpaceDN/>
        <w:adjustRightInd/>
        <w:spacing w:before="2" w:line="287" w:lineRule="exact"/>
        <w:ind w:left="72"/>
        <w:textAlignment w:val="baseline"/>
        <w:rPr>
          <w:sz w:val="24"/>
        </w:rPr>
      </w:pPr>
    </w:p>
    <w:p w14:paraId="5FE038D2" w14:textId="2E8339D3" w:rsidR="007A171C" w:rsidRDefault="007A171C"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7B4E2612" w14:textId="0BE7A865"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5133E3DC" w14:textId="11CB0C50"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35A412DF" w14:textId="57877AA0" w:rsidR="00A05DBE"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037825F8" w14:textId="77777777" w:rsidR="00A05DBE" w:rsidRPr="004D145A" w:rsidRDefault="00A05DBE"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37F0AD6D" w14:textId="77777777" w:rsidR="007A171C" w:rsidRPr="004D145A" w:rsidRDefault="007A171C" w:rsidP="007A171C">
      <w:pPr>
        <w:tabs>
          <w:tab w:val="right" w:pos="360"/>
          <w:tab w:val="left" w:pos="3600"/>
        </w:tabs>
        <w:kinsoku w:val="0"/>
        <w:overflowPunct w:val="0"/>
        <w:autoSpaceDE/>
        <w:autoSpaceDN/>
        <w:adjustRightInd/>
        <w:spacing w:line="285" w:lineRule="exact"/>
        <w:ind w:left="72"/>
        <w:jc w:val="center"/>
        <w:textAlignment w:val="baseline"/>
        <w:rPr>
          <w:sz w:val="24"/>
        </w:rPr>
      </w:pPr>
    </w:p>
    <w:p w14:paraId="2739FFF9" w14:textId="77777777" w:rsidR="007A171C" w:rsidRPr="004D145A" w:rsidRDefault="007A171C" w:rsidP="007A171C">
      <w:pPr>
        <w:tabs>
          <w:tab w:val="right" w:pos="360"/>
          <w:tab w:val="left" w:pos="3600"/>
        </w:tabs>
        <w:kinsoku w:val="0"/>
        <w:overflowPunct w:val="0"/>
        <w:autoSpaceDE/>
        <w:autoSpaceDN/>
        <w:adjustRightInd/>
        <w:spacing w:line="285" w:lineRule="exact"/>
        <w:ind w:left="72"/>
        <w:jc w:val="center"/>
        <w:textAlignment w:val="baseline"/>
        <w:rPr>
          <w:color w:val="3D3D3D"/>
          <w:sz w:val="24"/>
        </w:rPr>
      </w:pPr>
      <w:r w:rsidRPr="004D145A">
        <w:rPr>
          <w:color w:val="3D3D3D"/>
          <w:sz w:val="24"/>
        </w:rPr>
        <w:t>A PROPOSED RESOLUTION</w:t>
      </w:r>
    </w:p>
    <w:p w14:paraId="491B1F2B"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30877EE0" w14:textId="40D9C1FB" w:rsidR="007A171C" w:rsidRPr="004D145A" w:rsidRDefault="00A05DBE"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r>
        <w:rPr>
          <w:color w:val="3D3D3D"/>
          <w:spacing w:val="-5"/>
          <w:sz w:val="24"/>
        </w:rPr>
        <w:t>_____</w:t>
      </w:r>
    </w:p>
    <w:p w14:paraId="591B3170"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03447C45"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00621A4A" w14:textId="51B15A49"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r w:rsidRPr="004D145A">
        <w:rPr>
          <w:color w:val="3D3D3D"/>
          <w:spacing w:val="-5"/>
          <w:sz w:val="24"/>
        </w:rPr>
        <w:t>IN THE COUNCIL OF THE DISTRICT OF COLUMBIA</w:t>
      </w:r>
    </w:p>
    <w:p w14:paraId="4E973AB6" w14:textId="77777777" w:rsidR="007A171C" w:rsidRPr="004D145A" w:rsidRDefault="007A171C" w:rsidP="007A171C">
      <w:pPr>
        <w:tabs>
          <w:tab w:val="right" w:pos="360"/>
          <w:tab w:val="left" w:pos="2232"/>
        </w:tabs>
        <w:kinsoku w:val="0"/>
        <w:overflowPunct w:val="0"/>
        <w:autoSpaceDE/>
        <w:autoSpaceDN/>
        <w:adjustRightInd/>
        <w:spacing w:before="3" w:line="287" w:lineRule="exact"/>
        <w:ind w:left="72"/>
        <w:jc w:val="center"/>
        <w:textAlignment w:val="baseline"/>
        <w:rPr>
          <w:color w:val="3D3D3D"/>
          <w:spacing w:val="-5"/>
          <w:sz w:val="24"/>
        </w:rPr>
      </w:pPr>
    </w:p>
    <w:p w14:paraId="1AB429F1" w14:textId="3BD3D90A" w:rsidR="007A171C" w:rsidRPr="004D145A" w:rsidRDefault="00A05DBE" w:rsidP="00A05DBE">
      <w:pPr>
        <w:tabs>
          <w:tab w:val="right" w:pos="360"/>
          <w:tab w:val="left" w:pos="720"/>
          <w:tab w:val="left" w:pos="2232"/>
          <w:tab w:val="center" w:pos="4896"/>
        </w:tabs>
        <w:kinsoku w:val="0"/>
        <w:overflowPunct w:val="0"/>
        <w:autoSpaceDE/>
        <w:autoSpaceDN/>
        <w:adjustRightInd/>
        <w:spacing w:before="3" w:line="287" w:lineRule="exact"/>
        <w:ind w:left="72"/>
        <w:textAlignment w:val="baseline"/>
        <w:rPr>
          <w:color w:val="3D3D3D"/>
          <w:spacing w:val="-5"/>
          <w:sz w:val="24"/>
        </w:rPr>
      </w:pPr>
      <w:r>
        <w:rPr>
          <w:color w:val="3D3D3D"/>
          <w:spacing w:val="-5"/>
          <w:sz w:val="24"/>
        </w:rPr>
        <w:tab/>
      </w:r>
      <w:r>
        <w:rPr>
          <w:color w:val="3D3D3D"/>
          <w:spacing w:val="-5"/>
          <w:sz w:val="24"/>
        </w:rPr>
        <w:tab/>
      </w:r>
      <w:r>
        <w:rPr>
          <w:color w:val="3D3D3D"/>
          <w:spacing w:val="-5"/>
          <w:sz w:val="24"/>
        </w:rPr>
        <w:tab/>
      </w:r>
      <w:r>
        <w:rPr>
          <w:color w:val="3D3D3D"/>
          <w:spacing w:val="-5"/>
          <w:sz w:val="24"/>
        </w:rPr>
        <w:tab/>
      </w:r>
      <w:r w:rsidR="007A171C" w:rsidRPr="004D145A">
        <w:rPr>
          <w:color w:val="3D3D3D"/>
          <w:spacing w:val="-5"/>
          <w:sz w:val="24"/>
        </w:rPr>
        <w:t>_________________</w:t>
      </w:r>
    </w:p>
    <w:p w14:paraId="0CB9D1E7" w14:textId="77777777" w:rsidR="007A171C" w:rsidRPr="004D145A" w:rsidRDefault="007A171C">
      <w:pPr>
        <w:kinsoku w:val="0"/>
        <w:overflowPunct w:val="0"/>
        <w:autoSpaceDE/>
        <w:autoSpaceDN/>
        <w:adjustRightInd/>
        <w:spacing w:line="289" w:lineRule="exact"/>
        <w:ind w:left="72"/>
        <w:textAlignment w:val="baseline"/>
        <w:rPr>
          <w:color w:val="3D3D3D"/>
          <w:spacing w:val="-19"/>
          <w:sz w:val="24"/>
        </w:rPr>
      </w:pPr>
    </w:p>
    <w:p w14:paraId="1F9282B3" w14:textId="77777777" w:rsidR="007A171C" w:rsidRPr="004D145A" w:rsidRDefault="007A171C">
      <w:pPr>
        <w:kinsoku w:val="0"/>
        <w:overflowPunct w:val="0"/>
        <w:autoSpaceDE/>
        <w:autoSpaceDN/>
        <w:adjustRightInd/>
        <w:spacing w:line="289" w:lineRule="exact"/>
        <w:ind w:left="72"/>
        <w:textAlignment w:val="baseline"/>
        <w:rPr>
          <w:color w:val="3D3D3D"/>
          <w:spacing w:val="-22"/>
          <w:sz w:val="24"/>
        </w:rPr>
      </w:pPr>
    </w:p>
    <w:p w14:paraId="4A47B0AE" w14:textId="04065D4F" w:rsidR="007A171C" w:rsidRPr="00A05DBE" w:rsidRDefault="007A171C" w:rsidP="00A05DBE">
      <w:pPr>
        <w:tabs>
          <w:tab w:val="right" w:pos="360"/>
          <w:tab w:val="left" w:pos="648"/>
        </w:tabs>
        <w:kinsoku w:val="0"/>
        <w:overflowPunct w:val="0"/>
        <w:autoSpaceDE/>
        <w:autoSpaceDN/>
        <w:adjustRightInd/>
        <w:spacing w:line="290" w:lineRule="exact"/>
        <w:textAlignment w:val="baseline"/>
        <w:rPr>
          <w:color w:val="3D3D3D"/>
          <w:spacing w:val="-4"/>
          <w:sz w:val="24"/>
        </w:rPr>
      </w:pPr>
      <w:r w:rsidRPr="004D145A">
        <w:rPr>
          <w:color w:val="3D3D3D"/>
          <w:sz w:val="24"/>
        </w:rPr>
        <w:t xml:space="preserve">To declare the existence of an emergency with respect to the need to </w:t>
      </w:r>
      <w:r w:rsidR="00A05DBE">
        <w:rPr>
          <w:color w:val="3D3D3D"/>
          <w:sz w:val="24"/>
        </w:rPr>
        <w:t>extend</w:t>
      </w:r>
      <w:r w:rsidRPr="004D145A">
        <w:rPr>
          <w:color w:val="3D3D3D"/>
          <w:sz w:val="24"/>
        </w:rPr>
        <w:t xml:space="preserve"> the </w:t>
      </w:r>
      <w:r w:rsidR="00A05DBE">
        <w:rPr>
          <w:color w:val="3D3D3D"/>
          <w:spacing w:val="-4"/>
          <w:sz w:val="24"/>
        </w:rPr>
        <w:t xml:space="preserve">disposition </w:t>
      </w:r>
      <w:r w:rsidRPr="004D145A">
        <w:rPr>
          <w:color w:val="3D3D3D"/>
          <w:spacing w:val="-4"/>
          <w:sz w:val="24"/>
        </w:rPr>
        <w:t xml:space="preserve">of a </w:t>
      </w:r>
      <w:r w:rsidR="00A05DBE">
        <w:rPr>
          <w:color w:val="3D3D3D"/>
          <w:spacing w:val="-4"/>
          <w:sz w:val="24"/>
        </w:rPr>
        <w:tab/>
      </w:r>
      <w:r w:rsidR="00A05DBE">
        <w:rPr>
          <w:color w:val="3D3D3D"/>
          <w:spacing w:val="-4"/>
          <w:sz w:val="24"/>
        </w:rPr>
        <w:tab/>
      </w:r>
      <w:r w:rsidR="00A05DBE">
        <w:rPr>
          <w:color w:val="3D3D3D"/>
          <w:spacing w:val="-4"/>
          <w:sz w:val="24"/>
        </w:rPr>
        <w:tab/>
      </w:r>
      <w:r w:rsidR="00161B0D">
        <w:rPr>
          <w:color w:val="3D3D3D"/>
          <w:spacing w:val="-4"/>
          <w:sz w:val="24"/>
        </w:rPr>
        <w:tab/>
      </w:r>
      <w:r w:rsidRPr="004D145A">
        <w:rPr>
          <w:color w:val="3D3D3D"/>
          <w:spacing w:val="-4"/>
          <w:sz w:val="24"/>
        </w:rPr>
        <w:t>District-owned real property located at 500 19</w:t>
      </w:r>
      <w:r w:rsidRPr="004D145A">
        <w:rPr>
          <w:color w:val="3D3D3D"/>
          <w:spacing w:val="-4"/>
          <w:sz w:val="24"/>
          <w:vertAlign w:val="superscript"/>
        </w:rPr>
        <w:t>th</w:t>
      </w:r>
      <w:r w:rsidRPr="004D145A">
        <w:rPr>
          <w:color w:val="3D3D3D"/>
          <w:spacing w:val="-4"/>
          <w:sz w:val="24"/>
        </w:rPr>
        <w:t xml:space="preserve"> Street N.E. in Washington, D.C., commonly </w:t>
      </w:r>
      <w:r w:rsidR="00A05DBE">
        <w:rPr>
          <w:color w:val="3D3D3D"/>
          <w:spacing w:val="-4"/>
          <w:sz w:val="24"/>
        </w:rPr>
        <w:tab/>
      </w:r>
      <w:r w:rsidR="00A05DBE">
        <w:rPr>
          <w:color w:val="3D3D3D"/>
          <w:spacing w:val="-4"/>
          <w:sz w:val="24"/>
        </w:rPr>
        <w:tab/>
      </w:r>
      <w:r w:rsidR="00161B0D">
        <w:rPr>
          <w:color w:val="3D3D3D"/>
          <w:spacing w:val="-4"/>
          <w:sz w:val="24"/>
        </w:rPr>
        <w:tab/>
      </w:r>
      <w:r w:rsidR="00A05DBE">
        <w:rPr>
          <w:color w:val="3D3D3D"/>
          <w:spacing w:val="-4"/>
          <w:sz w:val="24"/>
        </w:rPr>
        <w:tab/>
      </w:r>
      <w:r w:rsidRPr="004D145A">
        <w:rPr>
          <w:color w:val="3D3D3D"/>
          <w:spacing w:val="-4"/>
          <w:sz w:val="24"/>
        </w:rPr>
        <w:t xml:space="preserve">known as the Gibbs School, and known for tax and assessment purposes as </w:t>
      </w:r>
      <w:r w:rsidRPr="004D145A">
        <w:rPr>
          <w:color w:val="3F3F3F"/>
          <w:spacing w:val="-4"/>
          <w:sz w:val="24"/>
        </w:rPr>
        <w:t>Square 4531, Lot 37</w:t>
      </w:r>
      <w:r w:rsidRPr="004D145A">
        <w:rPr>
          <w:color w:val="3D3D3D"/>
          <w:spacing w:val="-4"/>
          <w:sz w:val="24"/>
        </w:rPr>
        <w:t>.</w:t>
      </w:r>
    </w:p>
    <w:p w14:paraId="3B51D6AF" w14:textId="77777777" w:rsidR="007A171C" w:rsidRPr="004D145A" w:rsidRDefault="007A171C" w:rsidP="007A171C">
      <w:pPr>
        <w:tabs>
          <w:tab w:val="right" w:pos="360"/>
          <w:tab w:val="left" w:pos="1440"/>
        </w:tabs>
        <w:kinsoku w:val="0"/>
        <w:overflowPunct w:val="0"/>
        <w:autoSpaceDE/>
        <w:autoSpaceDN/>
        <w:adjustRightInd/>
        <w:spacing w:before="19" w:line="290" w:lineRule="exact"/>
        <w:textAlignment w:val="baseline"/>
        <w:rPr>
          <w:color w:val="3D3D3D"/>
          <w:spacing w:val="-4"/>
          <w:sz w:val="24"/>
        </w:rPr>
      </w:pPr>
    </w:p>
    <w:p w14:paraId="4DA5B863" w14:textId="77777777" w:rsidR="007A171C" w:rsidRDefault="007A171C" w:rsidP="007A171C">
      <w:pPr>
        <w:tabs>
          <w:tab w:val="right" w:pos="360"/>
          <w:tab w:val="left" w:pos="1440"/>
        </w:tabs>
        <w:kinsoku w:val="0"/>
        <w:overflowPunct w:val="0"/>
        <w:autoSpaceDE/>
        <w:autoSpaceDN/>
        <w:adjustRightInd/>
        <w:spacing w:before="19" w:line="480" w:lineRule="auto"/>
        <w:ind w:left="720"/>
        <w:textAlignment w:val="baseline"/>
        <w:rPr>
          <w:color w:val="3D3D3D"/>
          <w:spacing w:val="-3"/>
          <w:sz w:val="24"/>
        </w:rPr>
      </w:pPr>
      <w:r w:rsidRPr="004D145A">
        <w:rPr>
          <w:color w:val="3D3D3D"/>
          <w:spacing w:val="-4"/>
          <w:sz w:val="24"/>
        </w:rPr>
        <w:t>RESOLVED, BY THE COUNCIL OF THE DISTRICT OF COLUMBIA, That</w:t>
      </w:r>
      <w:r w:rsidRPr="004D145A">
        <w:rPr>
          <w:color w:val="3D3D3D"/>
          <w:spacing w:val="-3"/>
          <w:sz w:val="24"/>
        </w:rPr>
        <w:t xml:space="preserve"> this resolution </w:t>
      </w:r>
    </w:p>
    <w:p w14:paraId="699F8C5F" w14:textId="77777777" w:rsidR="007A171C" w:rsidRPr="004D145A" w:rsidRDefault="007A171C" w:rsidP="007A171C">
      <w:pPr>
        <w:tabs>
          <w:tab w:val="right" w:pos="360"/>
          <w:tab w:val="left" w:pos="1440"/>
        </w:tabs>
        <w:kinsoku w:val="0"/>
        <w:overflowPunct w:val="0"/>
        <w:autoSpaceDE/>
        <w:autoSpaceDN/>
        <w:adjustRightInd/>
        <w:spacing w:before="19" w:line="480" w:lineRule="auto"/>
        <w:textAlignment w:val="baseline"/>
        <w:rPr>
          <w:color w:val="3D3D3D"/>
          <w:spacing w:val="-3"/>
          <w:sz w:val="24"/>
        </w:rPr>
      </w:pPr>
      <w:r w:rsidRPr="004D145A">
        <w:rPr>
          <w:color w:val="3D3D3D"/>
          <w:spacing w:val="-3"/>
          <w:sz w:val="24"/>
        </w:rPr>
        <w:t>may be cited as the "Gibbs School Lease Extension Authorization Emergency Declaration Resolution of 2021".</w:t>
      </w:r>
    </w:p>
    <w:p w14:paraId="78D2884F" w14:textId="1C6D7F19" w:rsidR="00013711" w:rsidRPr="00DB79A1" w:rsidRDefault="004A17A1" w:rsidP="00013711">
      <w:pPr>
        <w:kinsoku w:val="0"/>
        <w:overflowPunct w:val="0"/>
        <w:autoSpaceDE/>
        <w:autoSpaceDN/>
        <w:adjustRightInd/>
        <w:spacing w:line="480" w:lineRule="auto"/>
        <w:textAlignment w:val="baseline"/>
        <w:rPr>
          <w:color w:val="3D3D3D"/>
          <w:spacing w:val="-2"/>
          <w:sz w:val="24"/>
        </w:rPr>
      </w:pPr>
      <w:r>
        <w:rPr>
          <w:color w:val="3D3D3D"/>
          <w:spacing w:val="-3"/>
          <w:sz w:val="24"/>
        </w:rPr>
        <w:tab/>
      </w:r>
      <w:r>
        <w:rPr>
          <w:color w:val="3D3D3D"/>
          <w:spacing w:val="-3"/>
          <w:sz w:val="24"/>
        </w:rPr>
        <w:tab/>
      </w:r>
      <w:r w:rsidR="007A171C" w:rsidRPr="004D145A">
        <w:rPr>
          <w:color w:val="3D3D3D"/>
          <w:spacing w:val="-3"/>
          <w:sz w:val="24"/>
        </w:rPr>
        <w:t>S</w:t>
      </w:r>
      <w:r w:rsidR="007A171C" w:rsidRPr="004D145A">
        <w:rPr>
          <w:color w:val="3D3D3D"/>
          <w:spacing w:val="-2"/>
          <w:sz w:val="24"/>
        </w:rPr>
        <w:t>ec. 2.</w:t>
      </w:r>
      <w:r w:rsidR="00A05DBE">
        <w:rPr>
          <w:color w:val="3D3D3D"/>
          <w:spacing w:val="-2"/>
          <w:sz w:val="24"/>
        </w:rPr>
        <w:t xml:space="preserve">  (a) </w:t>
      </w:r>
      <w:r w:rsidR="00013711" w:rsidRPr="004D145A">
        <w:rPr>
          <w:color w:val="3D3D3D"/>
          <w:spacing w:val="-2"/>
          <w:sz w:val="24"/>
        </w:rPr>
        <w:t xml:space="preserve"> There exists an immediate need to extend the lease </w:t>
      </w:r>
      <w:r w:rsidR="00DB79A1">
        <w:rPr>
          <w:color w:val="3D3D3D"/>
          <w:spacing w:val="-2"/>
          <w:sz w:val="24"/>
        </w:rPr>
        <w:t xml:space="preserve">for </w:t>
      </w:r>
      <w:r w:rsidR="00013711" w:rsidRPr="004D145A">
        <w:rPr>
          <w:color w:val="3D3D3D"/>
          <w:spacing w:val="-2"/>
          <w:sz w:val="24"/>
        </w:rPr>
        <w:t xml:space="preserve">the District-owned real </w:t>
      </w:r>
      <w:r w:rsidR="00013711" w:rsidRPr="004D145A">
        <w:rPr>
          <w:color w:val="3D3D3D"/>
          <w:spacing w:val="-3"/>
          <w:sz w:val="24"/>
        </w:rPr>
        <w:t>property located at 500 19</w:t>
      </w:r>
      <w:r w:rsidR="00013711" w:rsidRPr="004D145A">
        <w:rPr>
          <w:color w:val="3D3D3D"/>
          <w:spacing w:val="-3"/>
          <w:sz w:val="24"/>
          <w:vertAlign w:val="superscript"/>
        </w:rPr>
        <w:t>th</w:t>
      </w:r>
      <w:r w:rsidR="00013711" w:rsidRPr="004D145A">
        <w:rPr>
          <w:color w:val="3D3D3D"/>
          <w:spacing w:val="-3"/>
          <w:sz w:val="24"/>
        </w:rPr>
        <w:t xml:space="preserve"> Street N.E. in Washington, D.C., commonly known as the Gibbs School, and known for tax and assessment purposes as Square 4531, Lot 0037</w:t>
      </w:r>
      <w:r w:rsidR="00013711" w:rsidRPr="004D145A">
        <w:rPr>
          <w:color w:val="3D3D3D"/>
          <w:spacing w:val="-2"/>
          <w:sz w:val="24"/>
        </w:rPr>
        <w:t>.</w:t>
      </w:r>
    </w:p>
    <w:p w14:paraId="54E2B92A" w14:textId="14C3B9E4" w:rsidR="00FC6B46" w:rsidRDefault="0001371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t xml:space="preserve">(b) </w:t>
      </w:r>
      <w:r w:rsidR="00A05DBE">
        <w:rPr>
          <w:color w:val="3D3D3D"/>
          <w:spacing w:val="-2"/>
          <w:sz w:val="24"/>
        </w:rPr>
        <w:t xml:space="preserve">In </w:t>
      </w:r>
      <w:r w:rsidR="004A17A1">
        <w:rPr>
          <w:color w:val="3D3D3D"/>
          <w:spacing w:val="-2"/>
          <w:sz w:val="24"/>
        </w:rPr>
        <w:t>February 2015,</w:t>
      </w:r>
      <w:r w:rsidR="00A05DBE">
        <w:rPr>
          <w:color w:val="3D3D3D"/>
          <w:spacing w:val="-2"/>
          <w:sz w:val="24"/>
        </w:rPr>
        <w:t xml:space="preserve"> the District</w:t>
      </w:r>
      <w:r w:rsidR="00FC6B46">
        <w:rPr>
          <w:color w:val="3D3D3D"/>
          <w:spacing w:val="-2"/>
          <w:sz w:val="24"/>
        </w:rPr>
        <w:t xml:space="preserve"> executed a 20-year lease with the Charter School</w:t>
      </w:r>
    </w:p>
    <w:p w14:paraId="2AD27EF3" w14:textId="66433C68" w:rsidR="007A171C" w:rsidRPr="00FC6B46" w:rsidRDefault="00FC6B46" w:rsidP="004A17A1">
      <w:pPr>
        <w:kinsoku w:val="0"/>
        <w:overflowPunct w:val="0"/>
        <w:autoSpaceDE/>
        <w:autoSpaceDN/>
        <w:adjustRightInd/>
        <w:spacing w:line="480" w:lineRule="auto"/>
        <w:textAlignment w:val="baseline"/>
        <w:rPr>
          <w:color w:val="3D3D3D"/>
          <w:spacing w:val="-2"/>
          <w:sz w:val="24"/>
        </w:rPr>
      </w:pPr>
      <w:r>
        <w:rPr>
          <w:color w:val="3D3D3D"/>
          <w:spacing w:val="-2"/>
          <w:sz w:val="24"/>
        </w:rPr>
        <w:t>Incubator Initiative (CSII) for the District-owned property located at 500 19</w:t>
      </w:r>
      <w:r w:rsidRPr="00FC6B46">
        <w:rPr>
          <w:color w:val="3D3D3D"/>
          <w:spacing w:val="-2"/>
          <w:sz w:val="24"/>
          <w:vertAlign w:val="superscript"/>
        </w:rPr>
        <w:t>th</w:t>
      </w:r>
      <w:r>
        <w:rPr>
          <w:color w:val="3D3D3D"/>
          <w:spacing w:val="-2"/>
          <w:sz w:val="24"/>
        </w:rPr>
        <w:t xml:space="preserve"> Street N.E, Washington, D.C., which is commonly known as the Gibbs School (Square 4531, Lot 37).</w:t>
      </w:r>
      <w:r w:rsidR="004A17A1">
        <w:rPr>
          <w:color w:val="3D3D3D"/>
          <w:spacing w:val="-2"/>
          <w:sz w:val="24"/>
        </w:rPr>
        <w:t xml:space="preserve">  The CSII is a non-profit </w:t>
      </w:r>
      <w:r w:rsidR="007A171C">
        <w:rPr>
          <w:color w:val="3D3D3D"/>
          <w:spacing w:val="-2"/>
          <w:sz w:val="24"/>
        </w:rPr>
        <w:t xml:space="preserve">corporation that allows new public charter schools in the District an opportunity to incubate in one of its properties until the public charter schools grow and stabilize.  CSII identifies and secures property, including obtaining project financing for renovation of the school building.  This allows public charter school leaders the opportunity to focus on their educational programs instead of real estate.  Often, </w:t>
      </w:r>
      <w:r w:rsidR="007A171C">
        <w:rPr>
          <w:color w:val="3D3D3D"/>
          <w:spacing w:val="-2"/>
          <w:sz w:val="24"/>
        </w:rPr>
        <w:lastRenderedPageBreak/>
        <w:t>once the public charter schools reach stabilization, they subsume control over the school building in which they were incubating.</w:t>
      </w:r>
    </w:p>
    <w:p w14:paraId="499DEA0E" w14:textId="409455BA" w:rsidR="004A17A1" w:rsidRDefault="004A17A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r>
      <w:r w:rsidR="007A171C" w:rsidRPr="004D145A">
        <w:rPr>
          <w:color w:val="3D3D3D"/>
          <w:spacing w:val="-2"/>
          <w:sz w:val="24"/>
        </w:rPr>
        <w:t>(</w:t>
      </w:r>
      <w:r w:rsidR="00013711">
        <w:rPr>
          <w:color w:val="3D3D3D"/>
          <w:spacing w:val="-2"/>
          <w:sz w:val="24"/>
        </w:rPr>
        <w:t>c</w:t>
      </w:r>
      <w:r w:rsidR="007A171C" w:rsidRPr="004D145A">
        <w:rPr>
          <w:color w:val="3D3D3D"/>
          <w:spacing w:val="-2"/>
          <w:sz w:val="24"/>
        </w:rPr>
        <w:t xml:space="preserve">) </w:t>
      </w:r>
      <w:r w:rsidR="00FC6B46">
        <w:rPr>
          <w:color w:val="3D3D3D"/>
          <w:spacing w:val="-2"/>
          <w:sz w:val="24"/>
        </w:rPr>
        <w:t xml:space="preserve">After the District of Columbia Public Schools (DCPS) closed the Gibbs School in 2009, the </w:t>
      </w:r>
      <w:r>
        <w:rPr>
          <w:color w:val="3D3D3D"/>
          <w:spacing w:val="-2"/>
          <w:sz w:val="24"/>
        </w:rPr>
        <w:t xml:space="preserve">District declared the property surplus and available for reuse in May 2013.  After undergoing the “Request for Offers” (RFO) process, CSII was awarded the Gibbs School in December 2014 and executed </w:t>
      </w:r>
      <w:r w:rsidR="00F37AFA">
        <w:rPr>
          <w:color w:val="3D3D3D"/>
          <w:spacing w:val="-2"/>
          <w:sz w:val="24"/>
        </w:rPr>
        <w:t>a 20-year</w:t>
      </w:r>
      <w:r>
        <w:rPr>
          <w:color w:val="3D3D3D"/>
          <w:spacing w:val="-2"/>
          <w:sz w:val="24"/>
        </w:rPr>
        <w:t xml:space="preserve"> lease </w:t>
      </w:r>
      <w:r w:rsidR="00F37AFA">
        <w:rPr>
          <w:color w:val="3D3D3D"/>
          <w:spacing w:val="-2"/>
          <w:sz w:val="24"/>
        </w:rPr>
        <w:t xml:space="preserve">with the District </w:t>
      </w:r>
      <w:r>
        <w:rPr>
          <w:color w:val="3D3D3D"/>
          <w:spacing w:val="-2"/>
          <w:sz w:val="24"/>
        </w:rPr>
        <w:t>on February 12, 2015.</w:t>
      </w:r>
    </w:p>
    <w:p w14:paraId="2A29E803" w14:textId="2500A6A9" w:rsidR="007A171C" w:rsidRPr="004D145A" w:rsidRDefault="004A17A1" w:rsidP="004A17A1">
      <w:pPr>
        <w:kinsoku w:val="0"/>
        <w:overflowPunct w:val="0"/>
        <w:autoSpaceDE/>
        <w:autoSpaceDN/>
        <w:adjustRightInd/>
        <w:spacing w:line="480" w:lineRule="auto"/>
        <w:textAlignment w:val="baseline"/>
        <w:rPr>
          <w:color w:val="3D3D3D"/>
          <w:spacing w:val="-2"/>
          <w:sz w:val="24"/>
        </w:rPr>
      </w:pPr>
      <w:r>
        <w:rPr>
          <w:color w:val="3D3D3D"/>
          <w:spacing w:val="-2"/>
          <w:sz w:val="24"/>
        </w:rPr>
        <w:tab/>
      </w:r>
      <w:r>
        <w:rPr>
          <w:color w:val="3D3D3D"/>
          <w:spacing w:val="-2"/>
          <w:sz w:val="24"/>
        </w:rPr>
        <w:tab/>
        <w:t>(</w:t>
      </w:r>
      <w:r w:rsidR="00013711">
        <w:rPr>
          <w:color w:val="3D3D3D"/>
          <w:spacing w:val="-2"/>
          <w:sz w:val="24"/>
        </w:rPr>
        <w:t>d</w:t>
      </w:r>
      <w:r>
        <w:rPr>
          <w:color w:val="3D3D3D"/>
          <w:spacing w:val="-2"/>
          <w:sz w:val="24"/>
        </w:rPr>
        <w:t xml:space="preserve">) </w:t>
      </w:r>
      <w:r w:rsidR="00FD57D3">
        <w:rPr>
          <w:color w:val="3D3D3D"/>
          <w:spacing w:val="-2"/>
          <w:sz w:val="24"/>
        </w:rPr>
        <w:t>On the same day that CSII executed it lease with the District for Gibbs</w:t>
      </w:r>
      <w:r w:rsidR="007A171C">
        <w:rPr>
          <w:color w:val="3D3D3D"/>
          <w:spacing w:val="-2"/>
          <w:sz w:val="24"/>
        </w:rPr>
        <w:t>,</w:t>
      </w:r>
      <w:r w:rsidR="00FD57D3">
        <w:rPr>
          <w:color w:val="3D3D3D"/>
          <w:spacing w:val="-2"/>
          <w:sz w:val="24"/>
        </w:rPr>
        <w:t xml:space="preserve"> it also executed a sublease with</w:t>
      </w:r>
      <w:r w:rsidR="007A171C">
        <w:rPr>
          <w:color w:val="3D3D3D"/>
          <w:spacing w:val="-2"/>
          <w:sz w:val="24"/>
        </w:rPr>
        <w:t xml:space="preserve"> </w:t>
      </w:r>
      <w:r w:rsidR="007A171C" w:rsidRPr="004D145A">
        <w:rPr>
          <w:color w:val="3D3D3D"/>
          <w:spacing w:val="-2"/>
          <w:sz w:val="24"/>
        </w:rPr>
        <w:t>Monument Academy Public Charter</w:t>
      </w:r>
      <w:r w:rsidR="00FD57D3">
        <w:rPr>
          <w:color w:val="3D3D3D"/>
          <w:spacing w:val="-2"/>
          <w:sz w:val="24"/>
        </w:rPr>
        <w:t xml:space="preserve"> School (“Monument”),</w:t>
      </w:r>
      <w:r w:rsidR="007A171C">
        <w:rPr>
          <w:color w:val="3D3D3D"/>
          <w:spacing w:val="-2"/>
          <w:sz w:val="24"/>
        </w:rPr>
        <w:t xml:space="preserve"> which is a </w:t>
      </w:r>
      <w:r w:rsidR="007A171C" w:rsidRPr="004D145A">
        <w:rPr>
          <w:color w:val="3D3D3D"/>
          <w:spacing w:val="-2"/>
          <w:sz w:val="24"/>
        </w:rPr>
        <w:t>5</w:t>
      </w:r>
      <w:r w:rsidR="007A171C" w:rsidRPr="004D145A">
        <w:rPr>
          <w:color w:val="3D3D3D"/>
          <w:spacing w:val="-2"/>
          <w:sz w:val="24"/>
          <w:vertAlign w:val="superscript"/>
        </w:rPr>
        <w:t>th</w:t>
      </w:r>
      <w:r w:rsidR="007A171C" w:rsidRPr="004D145A">
        <w:rPr>
          <w:color w:val="3D3D3D"/>
          <w:spacing w:val="-2"/>
          <w:sz w:val="24"/>
        </w:rPr>
        <w:t xml:space="preserve"> through 8</w:t>
      </w:r>
      <w:r w:rsidR="007A171C" w:rsidRPr="004D145A">
        <w:rPr>
          <w:color w:val="3D3D3D"/>
          <w:spacing w:val="-2"/>
          <w:sz w:val="24"/>
          <w:vertAlign w:val="superscript"/>
        </w:rPr>
        <w:t>th</w:t>
      </w:r>
      <w:r w:rsidR="007A171C" w:rsidRPr="004D145A">
        <w:rPr>
          <w:color w:val="3D3D3D"/>
          <w:spacing w:val="-2"/>
          <w:sz w:val="24"/>
        </w:rPr>
        <w:t xml:space="preserve"> </w:t>
      </w:r>
      <w:r w:rsidR="00FD57D3">
        <w:rPr>
          <w:color w:val="3D3D3D"/>
          <w:spacing w:val="-2"/>
          <w:sz w:val="24"/>
        </w:rPr>
        <w:t>g</w:t>
      </w:r>
      <w:r w:rsidR="007A171C" w:rsidRPr="004D145A">
        <w:rPr>
          <w:color w:val="3D3D3D"/>
          <w:spacing w:val="-2"/>
          <w:sz w:val="24"/>
        </w:rPr>
        <w:t xml:space="preserve">rade weekday boarding </w:t>
      </w:r>
      <w:r w:rsidR="00545AB4">
        <w:rPr>
          <w:color w:val="3D3D3D"/>
          <w:spacing w:val="-2"/>
          <w:sz w:val="24"/>
        </w:rPr>
        <w:t xml:space="preserve">public charter </w:t>
      </w:r>
      <w:r w:rsidR="007A171C" w:rsidRPr="004D145A">
        <w:rPr>
          <w:color w:val="3D3D3D"/>
          <w:spacing w:val="-2"/>
          <w:sz w:val="24"/>
        </w:rPr>
        <w:t>school</w:t>
      </w:r>
      <w:r w:rsidR="00FD57D3">
        <w:rPr>
          <w:color w:val="3D3D3D"/>
          <w:spacing w:val="-2"/>
          <w:sz w:val="24"/>
        </w:rPr>
        <w:t xml:space="preserve">.  Monument remains there to this day. </w:t>
      </w:r>
      <w:r w:rsidR="007A171C" w:rsidRPr="004D145A">
        <w:rPr>
          <w:color w:val="3D3D3D"/>
          <w:spacing w:val="-2"/>
          <w:sz w:val="24"/>
        </w:rPr>
        <w:t xml:space="preserve"> </w:t>
      </w:r>
      <w:r w:rsidR="00FD57D3">
        <w:rPr>
          <w:color w:val="3D3D3D"/>
          <w:spacing w:val="-2"/>
          <w:sz w:val="24"/>
        </w:rPr>
        <w:t>The school</w:t>
      </w:r>
      <w:r w:rsidR="007A171C" w:rsidRPr="004D145A">
        <w:rPr>
          <w:color w:val="3D3D3D"/>
          <w:spacing w:val="-2"/>
          <w:sz w:val="24"/>
        </w:rPr>
        <w:t xml:space="preserve"> has 128 students enrolled</w:t>
      </w:r>
      <w:r w:rsidR="00FD57D3">
        <w:rPr>
          <w:color w:val="3D3D3D"/>
          <w:spacing w:val="-2"/>
          <w:sz w:val="24"/>
        </w:rPr>
        <w:t xml:space="preserve"> during School Year 2021-2022,</w:t>
      </w:r>
      <w:r w:rsidR="007A171C" w:rsidRPr="004D145A">
        <w:rPr>
          <w:color w:val="3D3D3D"/>
          <w:spacing w:val="-2"/>
          <w:sz w:val="24"/>
        </w:rPr>
        <w:t xml:space="preserve"> and </w:t>
      </w:r>
      <w:r w:rsidR="00FD57D3">
        <w:rPr>
          <w:color w:val="3D3D3D"/>
          <w:spacing w:val="-2"/>
          <w:sz w:val="24"/>
        </w:rPr>
        <w:t>its</w:t>
      </w:r>
      <w:r w:rsidR="007A171C" w:rsidRPr="004D145A">
        <w:rPr>
          <w:color w:val="3D3D3D"/>
          <w:spacing w:val="-2"/>
          <w:sz w:val="24"/>
        </w:rPr>
        <w:t xml:space="preserve"> student population </w:t>
      </w:r>
      <w:r w:rsidR="00FD57D3">
        <w:rPr>
          <w:color w:val="3D3D3D"/>
          <w:spacing w:val="-2"/>
          <w:sz w:val="24"/>
        </w:rPr>
        <w:t xml:space="preserve">is 100% African American.  During School Year 2020-2021, 85% of Monument’s students were designated “at-risk,” 28% of its students were homeless, and 50% of its students had special needs.  Monument’s demographics for School Year 2021-2022 are </w:t>
      </w:r>
      <w:proofErr w:type="gramStart"/>
      <w:r w:rsidR="00FD57D3">
        <w:rPr>
          <w:color w:val="3D3D3D"/>
          <w:spacing w:val="-2"/>
          <w:sz w:val="24"/>
        </w:rPr>
        <w:t>similar to</w:t>
      </w:r>
      <w:proofErr w:type="gramEnd"/>
      <w:r w:rsidR="00FD57D3">
        <w:rPr>
          <w:color w:val="3D3D3D"/>
          <w:spacing w:val="-2"/>
          <w:sz w:val="24"/>
        </w:rPr>
        <w:t xml:space="preserve"> those of School Year 2020-2021.</w:t>
      </w:r>
    </w:p>
    <w:p w14:paraId="43892A98" w14:textId="77777777" w:rsidR="00F37AFA" w:rsidRDefault="00FD57D3" w:rsidP="00545AB4">
      <w:pPr>
        <w:kinsoku w:val="0"/>
        <w:overflowPunct w:val="0"/>
        <w:autoSpaceDE/>
        <w:autoSpaceDN/>
        <w:adjustRightInd/>
        <w:spacing w:line="480" w:lineRule="auto"/>
        <w:textAlignment w:val="baseline"/>
        <w:rPr>
          <w:sz w:val="24"/>
        </w:rPr>
      </w:pPr>
      <w:r>
        <w:rPr>
          <w:color w:val="3D3D3D"/>
          <w:spacing w:val="-2"/>
          <w:sz w:val="24"/>
        </w:rPr>
        <w:tab/>
      </w:r>
      <w:r>
        <w:rPr>
          <w:color w:val="3D3D3D"/>
          <w:spacing w:val="-2"/>
          <w:sz w:val="24"/>
        </w:rPr>
        <w:tab/>
      </w:r>
      <w:r w:rsidR="007A171C" w:rsidRPr="004D145A">
        <w:rPr>
          <w:sz w:val="24"/>
        </w:rPr>
        <w:t>(</w:t>
      </w:r>
      <w:r w:rsidR="00013711">
        <w:rPr>
          <w:sz w:val="24"/>
        </w:rPr>
        <w:t>e</w:t>
      </w:r>
      <w:r w:rsidR="007A171C" w:rsidRPr="004D145A">
        <w:rPr>
          <w:sz w:val="24"/>
        </w:rPr>
        <w:t xml:space="preserve">) </w:t>
      </w:r>
      <w:r w:rsidR="00545AB4">
        <w:rPr>
          <w:sz w:val="24"/>
        </w:rPr>
        <w:t xml:space="preserve">To renovate and modernize the Gibbs School to meet the needs of Monument, CSII took out approximately $17 million in debt.  </w:t>
      </w:r>
      <w:r w:rsidR="00F37AFA">
        <w:rPr>
          <w:sz w:val="24"/>
        </w:rPr>
        <w:t xml:space="preserve">Such a practice is common because the public schools that CSII generally leases from the District have sat fallow for years and fallen into disrepair.  Moreover, in the case of Monument, the Gibbs School had to be renovated to create a dormitory for its students since it’s a boarding public charter school.  </w:t>
      </w:r>
    </w:p>
    <w:p w14:paraId="258E9B0A" w14:textId="77777777" w:rsidR="000E2715" w:rsidRDefault="00F37AFA" w:rsidP="00545AB4">
      <w:pPr>
        <w:kinsoku w:val="0"/>
        <w:overflowPunct w:val="0"/>
        <w:autoSpaceDE/>
        <w:autoSpaceDN/>
        <w:adjustRightInd/>
        <w:spacing w:line="480" w:lineRule="auto"/>
        <w:textAlignment w:val="baseline"/>
        <w:rPr>
          <w:sz w:val="24"/>
        </w:rPr>
      </w:pPr>
      <w:r>
        <w:rPr>
          <w:sz w:val="24"/>
        </w:rPr>
        <w:tab/>
      </w:r>
      <w:r>
        <w:rPr>
          <w:sz w:val="24"/>
        </w:rPr>
        <w:tab/>
        <w:t xml:space="preserve">(f) </w:t>
      </w:r>
      <w:r w:rsidR="00545AB4">
        <w:rPr>
          <w:sz w:val="24"/>
        </w:rPr>
        <w:t>CSII expected to be able to amend its existing lease with the District to obtain better lease terms – 25 years with an additional 25-year option</w:t>
      </w:r>
      <w:r>
        <w:rPr>
          <w:sz w:val="24"/>
        </w:rPr>
        <w:t>,</w:t>
      </w:r>
      <w:r w:rsidR="00545AB4">
        <w:rPr>
          <w:sz w:val="24"/>
        </w:rPr>
        <w:t xml:space="preserve"> as these are the typical lease terms being included when the District property is a school and its being leased to a public charter school or CSII.</w:t>
      </w:r>
      <w:r>
        <w:rPr>
          <w:sz w:val="24"/>
        </w:rPr>
        <w:t xml:space="preserve">  Such terms would have then allowed CSII’s debt to be financed long-term with rates and an amortization schedule that would be affordable to both CSII and Monument, which hopes to assume the lease with the District and any outstanding debt that CSII has </w:t>
      </w:r>
      <w:proofErr w:type="gramStart"/>
      <w:r>
        <w:rPr>
          <w:sz w:val="24"/>
        </w:rPr>
        <w:t>with regard to</w:t>
      </w:r>
      <w:proofErr w:type="gramEnd"/>
      <w:r>
        <w:rPr>
          <w:sz w:val="24"/>
        </w:rPr>
        <w:t xml:space="preserve"> that property.  </w:t>
      </w:r>
    </w:p>
    <w:p w14:paraId="6F1ACEA1" w14:textId="35994048" w:rsidR="00545AB4" w:rsidRDefault="000E2715" w:rsidP="00545AB4">
      <w:pPr>
        <w:kinsoku w:val="0"/>
        <w:overflowPunct w:val="0"/>
        <w:autoSpaceDE/>
        <w:autoSpaceDN/>
        <w:adjustRightInd/>
        <w:spacing w:line="480" w:lineRule="auto"/>
        <w:textAlignment w:val="baseline"/>
        <w:rPr>
          <w:sz w:val="24"/>
        </w:rPr>
      </w:pPr>
      <w:r>
        <w:rPr>
          <w:sz w:val="24"/>
        </w:rPr>
        <w:tab/>
      </w:r>
      <w:r>
        <w:rPr>
          <w:sz w:val="24"/>
        </w:rPr>
        <w:tab/>
        <w:t xml:space="preserve">(g) </w:t>
      </w:r>
      <w:r>
        <w:rPr>
          <w:sz w:val="24"/>
        </w:rPr>
        <w:tab/>
        <w:t>Despite CSII alerting the Executive over two years ago that it would need an extended lease, the Executive failed to undertake the disposition process laid out in D.C. Official Code § 10-</w:t>
      </w:r>
      <w:r>
        <w:rPr>
          <w:sz w:val="24"/>
        </w:rPr>
        <w:lastRenderedPageBreak/>
        <w:t xml:space="preserve">801 and did not transmit any permanent legislation to effectuate an extended lease until the week of December 6, 2021.  During this two-year period, </w:t>
      </w:r>
      <w:r w:rsidR="00F37AFA">
        <w:rPr>
          <w:sz w:val="24"/>
        </w:rPr>
        <w:t xml:space="preserve">CSII’s $17 million debt matured on June 30, 2021.  While CSII was able to obtain a six-month grace period, that period ends on December 31, 2021.  At </w:t>
      </w:r>
      <w:r>
        <w:rPr>
          <w:sz w:val="24"/>
        </w:rPr>
        <w:t>that</w:t>
      </w:r>
      <w:r w:rsidR="00F37AFA">
        <w:rPr>
          <w:sz w:val="24"/>
        </w:rPr>
        <w:t xml:space="preserve"> point CSII’s lender</w:t>
      </w:r>
      <w:r>
        <w:rPr>
          <w:sz w:val="24"/>
        </w:rPr>
        <w:t xml:space="preserve"> could call on CSII to pay its outstanding debt.  If this were to occur under the current financing terms, CSII would default on the loan.</w:t>
      </w:r>
    </w:p>
    <w:p w14:paraId="52632C8A" w14:textId="5CC47B7D" w:rsidR="00C64789" w:rsidRDefault="000E2715" w:rsidP="004A17A1">
      <w:pPr>
        <w:kinsoku w:val="0"/>
        <w:overflowPunct w:val="0"/>
        <w:autoSpaceDE/>
        <w:autoSpaceDN/>
        <w:adjustRightInd/>
        <w:spacing w:line="480" w:lineRule="auto"/>
        <w:textAlignment w:val="baseline"/>
        <w:rPr>
          <w:sz w:val="24"/>
        </w:rPr>
      </w:pPr>
      <w:r>
        <w:rPr>
          <w:sz w:val="24"/>
        </w:rPr>
        <w:tab/>
      </w:r>
      <w:r>
        <w:rPr>
          <w:sz w:val="24"/>
        </w:rPr>
        <w:tab/>
        <w:t xml:space="preserve">(g) </w:t>
      </w:r>
      <w:r w:rsidR="00840D16">
        <w:rPr>
          <w:sz w:val="24"/>
        </w:rPr>
        <w:t>Notably, this is an amendment or extension to an existing lease and is not a new lease.  Moreover, there is no indication that the Gibbs School is needed for any other purpose than as a public charter school.</w:t>
      </w:r>
      <w:r w:rsidR="00161B0D">
        <w:rPr>
          <w:sz w:val="24"/>
        </w:rPr>
        <w:t xml:space="preserve">  </w:t>
      </w:r>
    </w:p>
    <w:p w14:paraId="60828499" w14:textId="12886BAC" w:rsidR="00A05DBE" w:rsidRPr="004D145A" w:rsidRDefault="00840D16" w:rsidP="004A17A1">
      <w:pPr>
        <w:kinsoku w:val="0"/>
        <w:overflowPunct w:val="0"/>
        <w:autoSpaceDE/>
        <w:autoSpaceDN/>
        <w:adjustRightInd/>
        <w:spacing w:line="480" w:lineRule="auto"/>
        <w:textAlignment w:val="baseline"/>
        <w:rPr>
          <w:sz w:val="24"/>
        </w:rPr>
      </w:pPr>
      <w:r>
        <w:rPr>
          <w:sz w:val="24"/>
        </w:rPr>
        <w:tab/>
      </w:r>
      <w:r>
        <w:rPr>
          <w:sz w:val="24"/>
        </w:rPr>
        <w:tab/>
        <w:t>(</w:t>
      </w:r>
      <w:r w:rsidR="000E2715">
        <w:rPr>
          <w:sz w:val="24"/>
        </w:rPr>
        <w:t>h</w:t>
      </w:r>
      <w:r>
        <w:rPr>
          <w:sz w:val="24"/>
        </w:rPr>
        <w:t xml:space="preserve">) Additionally, the nature of CSII’s financing for </w:t>
      </w:r>
      <w:proofErr w:type="gramStart"/>
      <w:r>
        <w:rPr>
          <w:sz w:val="24"/>
        </w:rPr>
        <w:t>all of</w:t>
      </w:r>
      <w:proofErr w:type="gramEnd"/>
      <w:r>
        <w:rPr>
          <w:sz w:val="24"/>
        </w:rPr>
        <w:t xml:space="preserve"> the buildings for which it has loans is such that if CSII defaults on one of its loans, it defaults on all of its loans.  Thus, if CSII was to default on its Gibbs School loan, this would </w:t>
      </w:r>
      <w:r w:rsidR="000F481C">
        <w:rPr>
          <w:sz w:val="24"/>
        </w:rPr>
        <w:t>result in not</w:t>
      </w:r>
      <w:r>
        <w:rPr>
          <w:sz w:val="24"/>
        </w:rPr>
        <w:t xml:space="preserve"> just 128 students losing their school building, </w:t>
      </w:r>
      <w:r w:rsidRPr="000E2715">
        <w:rPr>
          <w:sz w:val="24"/>
        </w:rPr>
        <w:t>but eight local education agencies and hundreds to thousands of public charter school students los</w:t>
      </w:r>
      <w:r w:rsidR="000F481C" w:rsidRPr="000E2715">
        <w:rPr>
          <w:sz w:val="24"/>
        </w:rPr>
        <w:t>ing</w:t>
      </w:r>
      <w:r w:rsidRPr="000E2715">
        <w:rPr>
          <w:sz w:val="24"/>
        </w:rPr>
        <w:t xml:space="preserve"> their school buildings</w:t>
      </w:r>
      <w:r>
        <w:rPr>
          <w:sz w:val="24"/>
        </w:rPr>
        <w:t>.</w:t>
      </w:r>
      <w:r w:rsidR="00013711">
        <w:rPr>
          <w:sz w:val="24"/>
        </w:rPr>
        <w:t xml:space="preserve">  Further, given Monument’s high percentage of homeless students, losing their school building has even greater stakes for them – they will lose their homes – their safe, stable, and reliable shelter – that they have for five nights of a week.  This would be unconscionable, especially since this issue has been prevalent for well over two years.   Thus</w:t>
      </w:r>
      <w:r w:rsidR="007A171C" w:rsidRPr="004D145A">
        <w:rPr>
          <w:sz w:val="24"/>
        </w:rPr>
        <w:t>,</w:t>
      </w:r>
      <w:r w:rsidR="00013711">
        <w:rPr>
          <w:sz w:val="24"/>
        </w:rPr>
        <w:t xml:space="preserve"> for </w:t>
      </w:r>
      <w:proofErr w:type="gramStart"/>
      <w:r w:rsidR="00013711">
        <w:rPr>
          <w:sz w:val="24"/>
        </w:rPr>
        <w:t>all of</w:t>
      </w:r>
      <w:proofErr w:type="gramEnd"/>
      <w:r w:rsidR="00013711">
        <w:rPr>
          <w:sz w:val="24"/>
        </w:rPr>
        <w:t xml:space="preserve"> the enumerated reasons above,</w:t>
      </w:r>
      <w:r w:rsidR="007A171C" w:rsidRPr="004D145A">
        <w:rPr>
          <w:sz w:val="24"/>
        </w:rPr>
        <w:t xml:space="preserve"> </w:t>
      </w:r>
      <w:r w:rsidR="00013711">
        <w:rPr>
          <w:sz w:val="24"/>
        </w:rPr>
        <w:t>an emergency need exists</w:t>
      </w:r>
      <w:r w:rsidR="007A171C" w:rsidRPr="004D145A">
        <w:rPr>
          <w:sz w:val="24"/>
        </w:rPr>
        <w:t xml:space="preserve"> to authorize the </w:t>
      </w:r>
      <w:r w:rsidR="00013711">
        <w:rPr>
          <w:sz w:val="24"/>
        </w:rPr>
        <w:t>Gibbs School’s lease extension</w:t>
      </w:r>
      <w:r w:rsidR="007A171C" w:rsidRPr="004D145A">
        <w:rPr>
          <w:sz w:val="24"/>
        </w:rPr>
        <w:t xml:space="preserve"> to the C</w:t>
      </w:r>
      <w:r w:rsidR="00013711">
        <w:rPr>
          <w:sz w:val="24"/>
        </w:rPr>
        <w:t>SII now and not to wait for the permanent legislation.</w:t>
      </w:r>
    </w:p>
    <w:p w14:paraId="442B5E59" w14:textId="0D803D8D" w:rsidR="007A171C" w:rsidRPr="004D145A" w:rsidRDefault="00013711" w:rsidP="004A17A1">
      <w:pPr>
        <w:kinsoku w:val="0"/>
        <w:overflowPunct w:val="0"/>
        <w:autoSpaceDE/>
        <w:autoSpaceDN/>
        <w:adjustRightInd/>
        <w:spacing w:line="480" w:lineRule="auto"/>
        <w:textAlignment w:val="baseline"/>
        <w:rPr>
          <w:sz w:val="24"/>
        </w:rPr>
      </w:pPr>
      <w:r>
        <w:rPr>
          <w:sz w:val="24"/>
        </w:rPr>
        <w:tab/>
      </w:r>
      <w:r>
        <w:rPr>
          <w:sz w:val="24"/>
        </w:rPr>
        <w:tab/>
      </w:r>
      <w:r w:rsidR="007A171C" w:rsidRPr="004D145A">
        <w:rPr>
          <w:sz w:val="24"/>
        </w:rPr>
        <w:t xml:space="preserve">Sec. 3. The Council of the District of Columbia determines that the circumstances </w:t>
      </w:r>
    </w:p>
    <w:p w14:paraId="4ECF5B1E" w14:textId="23667915" w:rsidR="007A171C" w:rsidRPr="004D145A" w:rsidRDefault="007A171C" w:rsidP="004A17A1">
      <w:pPr>
        <w:kinsoku w:val="0"/>
        <w:overflowPunct w:val="0"/>
        <w:autoSpaceDE/>
        <w:autoSpaceDN/>
        <w:adjustRightInd/>
        <w:spacing w:line="480" w:lineRule="auto"/>
        <w:textAlignment w:val="baseline"/>
        <w:rPr>
          <w:sz w:val="24"/>
        </w:rPr>
      </w:pPr>
      <w:r w:rsidRPr="004D145A">
        <w:rPr>
          <w:sz w:val="24"/>
        </w:rPr>
        <w:t xml:space="preserve">enumerated in section 2 constitute emergency circumstances making it necessary that the </w:t>
      </w:r>
      <w:r w:rsidR="008D5E36">
        <w:rPr>
          <w:sz w:val="24"/>
        </w:rPr>
        <w:t>“</w:t>
      </w:r>
      <w:r w:rsidR="00013711" w:rsidRPr="00013711">
        <w:rPr>
          <w:sz w:val="24"/>
        </w:rPr>
        <w:t>Gibbs School Lease Extension Authorization Emergency Act of 2021”</w:t>
      </w:r>
      <w:r w:rsidRPr="004D145A">
        <w:rPr>
          <w:sz w:val="24"/>
        </w:rPr>
        <w:t xml:space="preserve"> be adopted after a single reading.</w:t>
      </w:r>
    </w:p>
    <w:p w14:paraId="03E75F20" w14:textId="54D6889F" w:rsidR="007A171C" w:rsidRPr="004D145A" w:rsidRDefault="008D5E36" w:rsidP="004A17A1">
      <w:pPr>
        <w:kinsoku w:val="0"/>
        <w:overflowPunct w:val="0"/>
        <w:autoSpaceDE/>
        <w:autoSpaceDN/>
        <w:adjustRightInd/>
        <w:spacing w:line="480" w:lineRule="auto"/>
        <w:textAlignment w:val="baseline"/>
        <w:rPr>
          <w:sz w:val="24"/>
        </w:rPr>
        <w:sectPr w:rsidR="007A171C" w:rsidRPr="004D145A" w:rsidSect="008D5E36">
          <w:footerReference w:type="default" r:id="rId6"/>
          <w:pgSz w:w="12690" w:h="16530"/>
          <w:pgMar w:top="1240" w:right="1788" w:bottom="314" w:left="1182" w:header="720" w:footer="720" w:gutter="0"/>
          <w:lnNumType w:countBy="1" w:restart="continuous"/>
          <w:cols w:space="720"/>
          <w:noEndnote/>
          <w:docGrid w:linePitch="272"/>
        </w:sectPr>
      </w:pPr>
      <w:r>
        <w:rPr>
          <w:sz w:val="24"/>
        </w:rPr>
        <w:tab/>
      </w:r>
      <w:r>
        <w:rPr>
          <w:sz w:val="24"/>
        </w:rPr>
        <w:tab/>
      </w:r>
      <w:r w:rsidR="007A171C" w:rsidRPr="004D145A">
        <w:rPr>
          <w:sz w:val="24"/>
        </w:rPr>
        <w:t>Sec. 4. This resolution shall take effect immediately.</w:t>
      </w:r>
    </w:p>
    <w:p w14:paraId="5E38FE34" w14:textId="77777777" w:rsidR="007A171C" w:rsidRPr="004D145A" w:rsidRDefault="007A171C" w:rsidP="007A171C">
      <w:pPr>
        <w:kinsoku w:val="0"/>
        <w:overflowPunct w:val="0"/>
        <w:autoSpaceDE/>
        <w:autoSpaceDN/>
        <w:adjustRightInd/>
        <w:spacing w:line="480" w:lineRule="auto"/>
        <w:textAlignment w:val="baseline"/>
        <w:rPr>
          <w:sz w:val="24"/>
        </w:rPr>
      </w:pPr>
    </w:p>
    <w:sectPr w:rsidR="007A171C" w:rsidRPr="004D145A" w:rsidSect="007A171C">
      <w:type w:val="continuous"/>
      <w:pgSz w:w="12690" w:h="16530"/>
      <w:pgMar w:top="1240" w:right="6120" w:bottom="314" w:left="62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DA27" w14:textId="77777777" w:rsidR="008E4F81" w:rsidRDefault="008E4F81">
      <w:r>
        <w:separator/>
      </w:r>
    </w:p>
  </w:endnote>
  <w:endnote w:type="continuationSeparator" w:id="0">
    <w:p w14:paraId="06887D44" w14:textId="77777777" w:rsidR="008E4F81" w:rsidRDefault="008E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2863" w14:textId="77777777" w:rsidR="00545AB4" w:rsidRDefault="00545AB4">
    <w:pPr>
      <w:pStyle w:val="Footer"/>
      <w:jc w:val="center"/>
    </w:pPr>
    <w:r>
      <w:fldChar w:fldCharType="begin"/>
    </w:r>
    <w:r>
      <w:instrText xml:space="preserve"> PAGE   \* MERGEFORMAT </w:instrText>
    </w:r>
    <w:r>
      <w:fldChar w:fldCharType="separate"/>
    </w:r>
    <w:r>
      <w:rPr>
        <w:noProof/>
      </w:rPr>
      <w:t>1</w:t>
    </w:r>
    <w:r>
      <w:rPr>
        <w:noProof/>
      </w:rPr>
      <w:fldChar w:fldCharType="end"/>
    </w:r>
  </w:p>
  <w:p w14:paraId="4893334F" w14:textId="77777777" w:rsidR="00545AB4" w:rsidRDefault="0054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8CB8" w14:textId="77777777" w:rsidR="008E4F81" w:rsidRDefault="008E4F81">
      <w:r>
        <w:separator/>
      </w:r>
    </w:p>
  </w:footnote>
  <w:footnote w:type="continuationSeparator" w:id="0">
    <w:p w14:paraId="2249365A" w14:textId="77777777" w:rsidR="008E4F81" w:rsidRDefault="008E4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BE"/>
    <w:rsid w:val="00013711"/>
    <w:rsid w:val="000A5731"/>
    <w:rsid w:val="000E2715"/>
    <w:rsid w:val="000F481C"/>
    <w:rsid w:val="00161B0D"/>
    <w:rsid w:val="002B3FBA"/>
    <w:rsid w:val="004A17A1"/>
    <w:rsid w:val="00500E15"/>
    <w:rsid w:val="00545AB4"/>
    <w:rsid w:val="00783296"/>
    <w:rsid w:val="007A171C"/>
    <w:rsid w:val="00840D16"/>
    <w:rsid w:val="008D5E36"/>
    <w:rsid w:val="008E4F81"/>
    <w:rsid w:val="0093544B"/>
    <w:rsid w:val="00A05DBE"/>
    <w:rsid w:val="00A91AEE"/>
    <w:rsid w:val="00C517D4"/>
    <w:rsid w:val="00C64789"/>
    <w:rsid w:val="00DB79A1"/>
    <w:rsid w:val="00E80FBE"/>
    <w:rsid w:val="00F37AFA"/>
    <w:rsid w:val="00FC6B46"/>
    <w:rsid w:val="00FD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645BD"/>
  <w15:docId w15:val="{9D17F934-61DB-4ACD-ADF3-A8A146A8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68"/>
    <w:pPr>
      <w:tabs>
        <w:tab w:val="center" w:pos="4680"/>
        <w:tab w:val="right" w:pos="9360"/>
      </w:tabs>
    </w:pPr>
  </w:style>
  <w:style w:type="character" w:customStyle="1" w:styleId="HeaderChar">
    <w:name w:val="Header Char"/>
    <w:link w:val="Header"/>
    <w:uiPriority w:val="99"/>
    <w:rsid w:val="005E4A68"/>
    <w:rPr>
      <w:rFonts w:ascii="Times New Roman" w:hAnsi="Times New Roman" w:cs="Times New Roman"/>
      <w:sz w:val="20"/>
      <w:szCs w:val="24"/>
    </w:rPr>
  </w:style>
  <w:style w:type="paragraph" w:styleId="Footer">
    <w:name w:val="footer"/>
    <w:basedOn w:val="Normal"/>
    <w:link w:val="FooterChar"/>
    <w:uiPriority w:val="99"/>
    <w:unhideWhenUsed/>
    <w:rsid w:val="005E4A68"/>
    <w:pPr>
      <w:tabs>
        <w:tab w:val="center" w:pos="4680"/>
        <w:tab w:val="right" w:pos="9360"/>
      </w:tabs>
    </w:pPr>
  </w:style>
  <w:style w:type="character" w:customStyle="1" w:styleId="FooterChar">
    <w:name w:val="Footer Char"/>
    <w:link w:val="Footer"/>
    <w:uiPriority w:val="99"/>
    <w:rsid w:val="005E4A68"/>
    <w:rPr>
      <w:rFonts w:ascii="Times New Roman" w:hAnsi="Times New Roman" w:cs="Times New Roman"/>
      <w:sz w:val="20"/>
      <w:szCs w:val="24"/>
    </w:rPr>
  </w:style>
  <w:style w:type="character" w:styleId="LineNumber">
    <w:name w:val="line number"/>
    <w:uiPriority w:val="99"/>
    <w:semiHidden/>
    <w:unhideWhenUsed/>
    <w:rsid w:val="005E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Setlow, Christina (Council)</dc:creator>
  <cp:lastModifiedBy>Setlow, Christina (Council)</cp:lastModifiedBy>
  <cp:revision>2</cp:revision>
  <dcterms:created xsi:type="dcterms:W3CDTF">2021-12-16T15:53:00Z</dcterms:created>
  <dcterms:modified xsi:type="dcterms:W3CDTF">2021-12-16T15:53:00Z</dcterms:modified>
</cp:coreProperties>
</file>