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18853" w14:textId="14F5EE05" w:rsidR="00A41E29" w:rsidRPr="0042327F" w:rsidRDefault="00E9044E" w:rsidP="0042327F">
      <w:pPr>
        <w:pStyle w:val="paragraph"/>
        <w:spacing w:before="0" w:beforeAutospacing="0" w:after="0" w:afterAutospacing="0"/>
        <w:textAlignment w:val="baseline"/>
      </w:pP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sidR="00F317A5">
        <w:rPr>
          <w:rStyle w:val="normaltextrun"/>
        </w:rPr>
        <w:t xml:space="preserve">           </w:t>
      </w:r>
      <w:r w:rsidR="00A41E29" w:rsidRPr="00E9044E">
        <w:rPr>
          <w:rStyle w:val="normaltextrun"/>
        </w:rPr>
        <w:t>______________________________</w:t>
      </w:r>
    </w:p>
    <w:p w14:paraId="1CC78231" w14:textId="014D8644" w:rsidR="00A41E29" w:rsidRDefault="00E9044E" w:rsidP="0042327F">
      <w:pPr>
        <w:pStyle w:val="paragraph"/>
        <w:spacing w:before="0" w:beforeAutospacing="0" w:after="0" w:afterAutospacing="0"/>
        <w:textAlignment w:val="baseline"/>
        <w:rPr>
          <w:rStyle w:val="normaltextrun"/>
        </w:rPr>
      </w:pP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sidR="00F317A5">
        <w:rPr>
          <w:rStyle w:val="normaltextrun"/>
        </w:rPr>
        <w:t xml:space="preserve">           </w:t>
      </w:r>
      <w:r>
        <w:rPr>
          <w:rStyle w:val="normaltextrun"/>
        </w:rPr>
        <w:t>Chairman Phil Mendelson</w:t>
      </w:r>
    </w:p>
    <w:p w14:paraId="762C72E1" w14:textId="18B47F6F" w:rsidR="00E9044E" w:rsidRPr="0042327F" w:rsidRDefault="00E9044E" w:rsidP="0042327F">
      <w:pPr>
        <w:pStyle w:val="paragraph"/>
        <w:spacing w:before="0" w:beforeAutospacing="0" w:after="0" w:afterAutospacing="0"/>
        <w:textAlignment w:val="baseline"/>
      </w:pP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sidR="00F317A5">
        <w:rPr>
          <w:rStyle w:val="normaltextrun"/>
        </w:rPr>
        <w:t xml:space="preserve">           </w:t>
      </w:r>
    </w:p>
    <w:p w14:paraId="3FC8B8D4" w14:textId="6CD22572" w:rsidR="00A41E29" w:rsidRPr="00E9044E" w:rsidRDefault="00A41E29" w:rsidP="00A41E29">
      <w:pPr>
        <w:pStyle w:val="paragraph"/>
        <w:spacing w:before="0" w:beforeAutospacing="0" w:after="0" w:afterAutospacing="0"/>
        <w:jc w:val="center"/>
        <w:textAlignment w:val="baseline"/>
        <w:rPr>
          <w:rStyle w:val="normaltextrun"/>
        </w:rPr>
      </w:pPr>
    </w:p>
    <w:p w14:paraId="54F36785" w14:textId="399C503D" w:rsidR="00A41E29" w:rsidRPr="00E9044E" w:rsidRDefault="00A41E29" w:rsidP="00A41E29">
      <w:pPr>
        <w:pStyle w:val="paragraph"/>
        <w:spacing w:before="0" w:beforeAutospacing="0" w:after="0" w:afterAutospacing="0"/>
        <w:jc w:val="center"/>
        <w:textAlignment w:val="baseline"/>
        <w:rPr>
          <w:rStyle w:val="normaltextrun"/>
        </w:rPr>
      </w:pPr>
    </w:p>
    <w:p w14:paraId="3CBEF8B8" w14:textId="77777777" w:rsidR="00A41E29" w:rsidRPr="00E9044E" w:rsidRDefault="00A41E29" w:rsidP="00A41E29">
      <w:pPr>
        <w:pStyle w:val="paragraph"/>
        <w:spacing w:before="0" w:beforeAutospacing="0" w:after="0" w:afterAutospacing="0"/>
        <w:jc w:val="center"/>
        <w:textAlignment w:val="baseline"/>
        <w:rPr>
          <w:rStyle w:val="normaltextrun"/>
        </w:rPr>
      </w:pPr>
    </w:p>
    <w:p w14:paraId="0A1FD7BB" w14:textId="77777777" w:rsidR="00A41E29" w:rsidRPr="00E9044E" w:rsidRDefault="00A41E29" w:rsidP="00A41E29">
      <w:pPr>
        <w:pStyle w:val="paragraph"/>
        <w:spacing w:before="0" w:beforeAutospacing="0" w:after="0" w:afterAutospacing="0"/>
        <w:jc w:val="center"/>
        <w:textAlignment w:val="baseline"/>
        <w:rPr>
          <w:rStyle w:val="normaltextrun"/>
        </w:rPr>
      </w:pPr>
    </w:p>
    <w:p w14:paraId="1DB482FF" w14:textId="7FC5A5DB" w:rsidR="00A41E29" w:rsidRPr="0042327F" w:rsidRDefault="00A41E29" w:rsidP="00A41E29">
      <w:pPr>
        <w:pStyle w:val="paragraph"/>
        <w:spacing w:before="0" w:beforeAutospacing="0" w:after="0" w:afterAutospacing="0"/>
        <w:jc w:val="center"/>
        <w:textAlignment w:val="baseline"/>
      </w:pPr>
      <w:r w:rsidRPr="00E9044E">
        <w:rPr>
          <w:rStyle w:val="normaltextrun"/>
        </w:rPr>
        <w:t>A PROPOSED RESOLUTION</w:t>
      </w:r>
    </w:p>
    <w:p w14:paraId="31123E30" w14:textId="5C78BAF8" w:rsidR="00A41E29" w:rsidRPr="0042327F" w:rsidRDefault="00A41E29" w:rsidP="00A41E29">
      <w:pPr>
        <w:pStyle w:val="paragraph"/>
        <w:spacing w:before="0" w:beforeAutospacing="0" w:after="0" w:afterAutospacing="0"/>
        <w:jc w:val="center"/>
        <w:textAlignment w:val="baseline"/>
      </w:pPr>
    </w:p>
    <w:p w14:paraId="2235A11A" w14:textId="6A544A38" w:rsidR="00E9044E" w:rsidRDefault="00E9044E" w:rsidP="0042327F">
      <w:pPr>
        <w:jc w:val="center"/>
        <w:rPr>
          <w:rFonts w:eastAsia="Times New Roman"/>
        </w:rPr>
      </w:pPr>
      <w:r>
        <w:rPr>
          <w:rStyle w:val="eop"/>
        </w:rPr>
        <w:t>___________________________</w:t>
      </w:r>
    </w:p>
    <w:p w14:paraId="497039C9" w14:textId="091C96BA" w:rsidR="00A41E29" w:rsidRPr="0042327F" w:rsidRDefault="00A41E29" w:rsidP="00E9044E">
      <w:pPr>
        <w:pStyle w:val="paragraph"/>
        <w:spacing w:before="0" w:beforeAutospacing="0" w:after="0" w:afterAutospacing="0"/>
        <w:jc w:val="center"/>
        <w:textAlignment w:val="baseline"/>
      </w:pPr>
    </w:p>
    <w:p w14:paraId="7165A34A" w14:textId="28CF20A2" w:rsidR="00A41E29" w:rsidRDefault="00A41E29" w:rsidP="00A41E29">
      <w:pPr>
        <w:pStyle w:val="paragraph"/>
        <w:spacing w:before="0" w:beforeAutospacing="0" w:after="0" w:afterAutospacing="0"/>
        <w:jc w:val="center"/>
        <w:textAlignment w:val="baseline"/>
        <w:rPr>
          <w:rStyle w:val="eop"/>
        </w:rPr>
      </w:pPr>
      <w:r w:rsidRPr="00E9044E">
        <w:rPr>
          <w:rStyle w:val="normaltextrun"/>
        </w:rPr>
        <w:t>IN THE COUNCIL OF THE DISTRICT OF COLUMBIA</w:t>
      </w:r>
    </w:p>
    <w:p w14:paraId="1F96E9DD" w14:textId="77777777" w:rsidR="00E9044E" w:rsidRPr="0042327F" w:rsidRDefault="00E9044E" w:rsidP="00A41E29">
      <w:pPr>
        <w:pStyle w:val="paragraph"/>
        <w:spacing w:before="0" w:beforeAutospacing="0" w:after="0" w:afterAutospacing="0"/>
        <w:jc w:val="center"/>
        <w:textAlignment w:val="baseline"/>
      </w:pPr>
    </w:p>
    <w:p w14:paraId="484C342D" w14:textId="4D28D48E" w:rsidR="00A41E29" w:rsidRPr="0042327F" w:rsidRDefault="00A41E29" w:rsidP="00A41E29">
      <w:pPr>
        <w:pStyle w:val="paragraph"/>
        <w:spacing w:before="0" w:beforeAutospacing="0" w:after="0" w:afterAutospacing="0"/>
        <w:jc w:val="center"/>
        <w:textAlignment w:val="baseline"/>
      </w:pPr>
      <w:r w:rsidRPr="00E9044E">
        <w:rPr>
          <w:rStyle w:val="normaltextrun"/>
        </w:rPr>
        <w:t>__________________</w:t>
      </w:r>
    </w:p>
    <w:p w14:paraId="2E7A8E2C" w14:textId="326F1B03" w:rsidR="00A41E29" w:rsidRPr="0042327F" w:rsidRDefault="00A41E29" w:rsidP="00A41E29">
      <w:pPr>
        <w:pStyle w:val="paragraph"/>
        <w:spacing w:before="0" w:beforeAutospacing="0" w:after="0" w:afterAutospacing="0"/>
        <w:textAlignment w:val="baseline"/>
      </w:pPr>
    </w:p>
    <w:p w14:paraId="5480F381" w14:textId="65B310B2" w:rsidR="00F317A5" w:rsidRDefault="00A41E29" w:rsidP="00F317A5">
      <w:pPr>
        <w:spacing w:line="240" w:lineRule="auto"/>
        <w:ind w:left="720" w:hanging="720"/>
        <w:textAlignment w:val="baseline"/>
      </w:pPr>
      <w:r w:rsidRPr="00E9044E">
        <w:rPr>
          <w:rStyle w:val="normaltextrun"/>
        </w:rPr>
        <w:t xml:space="preserve">To declare the existence of an emergency with respect to the need to </w:t>
      </w:r>
      <w:r w:rsidR="00F317A5" w:rsidRPr="00F33256">
        <w:t>amend</w:t>
      </w:r>
      <w:r w:rsidR="00F317A5">
        <w:t xml:space="preserve"> </w:t>
      </w:r>
      <w:r w:rsidR="00F317A5" w:rsidRPr="00F33256">
        <w:t>the</w:t>
      </w:r>
      <w:r w:rsidR="00F317A5" w:rsidRPr="006E31A8">
        <w:t xml:space="preserve"> </w:t>
      </w:r>
      <w:r w:rsidR="00F317A5">
        <w:t xml:space="preserve">District of Columbia Administrative Procedure Act to codify </w:t>
      </w:r>
      <w:r w:rsidR="00F317A5" w:rsidRPr="0098267F">
        <w:t>agency deference</w:t>
      </w:r>
      <w:r w:rsidR="00F317A5">
        <w:t xml:space="preserve"> and</w:t>
      </w:r>
      <w:r w:rsidR="00F317A5" w:rsidRPr="0098267F">
        <w:t xml:space="preserve"> </w:t>
      </w:r>
      <w:r w:rsidR="00F317A5">
        <w:t>clarify</w:t>
      </w:r>
      <w:r w:rsidR="00F317A5" w:rsidRPr="0098267F">
        <w:t xml:space="preserve"> that </w:t>
      </w:r>
      <w:r w:rsidR="00F317A5">
        <w:t xml:space="preserve">a </w:t>
      </w:r>
      <w:r w:rsidR="00F317A5" w:rsidRPr="0098267F">
        <w:t xml:space="preserve">reviewing court </w:t>
      </w:r>
      <w:r w:rsidR="00F317A5">
        <w:t xml:space="preserve">or tribunal </w:t>
      </w:r>
      <w:r w:rsidR="00F317A5" w:rsidRPr="0098267F">
        <w:t xml:space="preserve">shall defer to an agency’s </w:t>
      </w:r>
      <w:r w:rsidR="00F317A5">
        <w:t xml:space="preserve">interpretation of a statute or regulation it administers so long as that </w:t>
      </w:r>
      <w:r w:rsidR="00F317A5" w:rsidRPr="00E83EEB">
        <w:t>interpretation is not plainly wrong</w:t>
      </w:r>
      <w:r w:rsidR="00F317A5">
        <w:t>,</w:t>
      </w:r>
      <w:r w:rsidR="00F317A5" w:rsidRPr="00E83EEB">
        <w:t xml:space="preserve"> inconsistent with the statutory</w:t>
      </w:r>
      <w:r w:rsidR="00F317A5">
        <w:t xml:space="preserve"> or regulatory</w:t>
      </w:r>
      <w:r w:rsidR="00F317A5" w:rsidRPr="00E83EEB">
        <w:t xml:space="preserve"> language</w:t>
      </w:r>
      <w:r w:rsidR="00F317A5">
        <w:t xml:space="preserve"> or legislature’s inten</w:t>
      </w:r>
      <w:r w:rsidR="009B191B">
        <w:t>t</w:t>
      </w:r>
      <w:r w:rsidR="00F317A5">
        <w:t>.</w:t>
      </w:r>
    </w:p>
    <w:p w14:paraId="2F14EA72" w14:textId="670B8AD3" w:rsidR="00A41E29" w:rsidRPr="0042327F" w:rsidRDefault="00A41E29" w:rsidP="00F317A5">
      <w:pPr>
        <w:pStyle w:val="paragraph"/>
        <w:shd w:val="clear" w:color="auto" w:fill="FFFFFF"/>
        <w:spacing w:before="0" w:beforeAutospacing="0" w:after="0" w:afterAutospacing="0"/>
        <w:jc w:val="both"/>
        <w:textAlignment w:val="baseline"/>
      </w:pPr>
    </w:p>
    <w:p w14:paraId="1D014AE4" w14:textId="19DC264F" w:rsidR="00A41E29" w:rsidRPr="00E9044E" w:rsidRDefault="00E9044E" w:rsidP="00E9044E">
      <w:pPr>
        <w:pStyle w:val="paragraph"/>
        <w:spacing w:before="0" w:beforeAutospacing="0" w:after="0" w:afterAutospacing="0" w:line="480" w:lineRule="auto"/>
        <w:textAlignment w:val="baseline"/>
      </w:pPr>
      <w:r>
        <w:rPr>
          <w:rStyle w:val="normaltextrun"/>
        </w:rPr>
        <w:tab/>
      </w:r>
      <w:r w:rsidR="00A41E29" w:rsidRPr="00E9044E">
        <w:rPr>
          <w:rStyle w:val="normaltextrun"/>
        </w:rPr>
        <w:t>RESOLVED</w:t>
      </w:r>
      <w:r>
        <w:rPr>
          <w:rStyle w:val="normaltextrun"/>
        </w:rPr>
        <w:t>,</w:t>
      </w:r>
      <w:r w:rsidR="00A41E29" w:rsidRPr="00E9044E">
        <w:rPr>
          <w:rStyle w:val="normaltextrun"/>
        </w:rPr>
        <w:t xml:space="preserve"> BY THE COUNCIL OF THE DISTRICT OF COLUMBIA, That this</w:t>
      </w:r>
      <w:r>
        <w:rPr>
          <w:rStyle w:val="normaltextrun"/>
        </w:rPr>
        <w:t xml:space="preserve"> </w:t>
      </w:r>
      <w:r w:rsidR="00A41E29" w:rsidRPr="00E9044E">
        <w:rPr>
          <w:rStyle w:val="normaltextrun"/>
        </w:rPr>
        <w:t xml:space="preserve">resolution may be cited as the </w:t>
      </w:r>
      <w:r w:rsidR="00A41E29" w:rsidRPr="00E9044E">
        <w:rPr>
          <w:rStyle w:val="normaltextrun"/>
          <w:color w:val="000000"/>
        </w:rPr>
        <w:t>“</w:t>
      </w:r>
      <w:r w:rsidR="00F317A5">
        <w:t xml:space="preserve">Review of Agency Action Clarification </w:t>
      </w:r>
      <w:r w:rsidR="00A41E29" w:rsidRPr="00E9044E">
        <w:rPr>
          <w:rStyle w:val="normaltextrun"/>
          <w:color w:val="000000"/>
        </w:rPr>
        <w:t xml:space="preserve">Emergency </w:t>
      </w:r>
      <w:r w:rsidR="00A41E29" w:rsidRPr="00E9044E">
        <w:rPr>
          <w:rStyle w:val="normaltextrun"/>
        </w:rPr>
        <w:t>Declaration Resolution of 202</w:t>
      </w:r>
      <w:r w:rsidR="00CB07F2" w:rsidRPr="00E9044E">
        <w:rPr>
          <w:rStyle w:val="normaltextrun"/>
        </w:rPr>
        <w:t>4</w:t>
      </w:r>
      <w:r w:rsidR="00A41E29" w:rsidRPr="00E9044E">
        <w:rPr>
          <w:rStyle w:val="normaltextrun"/>
        </w:rPr>
        <w:t>”</w:t>
      </w:r>
      <w:r w:rsidR="00CB5697">
        <w:rPr>
          <w:rStyle w:val="eop"/>
        </w:rPr>
        <w:t>.</w:t>
      </w:r>
    </w:p>
    <w:p w14:paraId="5157D3F3" w14:textId="10C7D30D" w:rsidR="00253143" w:rsidRPr="00E9044E" w:rsidRDefault="00A41E29" w:rsidP="00A905BD">
      <w:pPr>
        <w:pStyle w:val="paragraph"/>
        <w:spacing w:before="0" w:beforeAutospacing="0" w:after="0" w:afterAutospacing="0" w:line="480" w:lineRule="auto"/>
        <w:ind w:firstLine="720"/>
        <w:textAlignment w:val="baseline"/>
      </w:pPr>
      <w:r w:rsidRPr="00E9044E">
        <w:rPr>
          <w:rStyle w:val="normaltextrun"/>
        </w:rPr>
        <w:t>Sec. 2.</w:t>
      </w:r>
      <w:r w:rsidR="00050744">
        <w:rPr>
          <w:rStyle w:val="normaltextrun"/>
        </w:rPr>
        <w:t xml:space="preserve"> </w:t>
      </w:r>
      <w:r w:rsidR="008A4F53" w:rsidRPr="00E9044E">
        <w:t>(</w:t>
      </w:r>
      <w:r w:rsidR="00050744">
        <w:t>a</w:t>
      </w:r>
      <w:r w:rsidR="008A4F53" w:rsidRPr="00E9044E">
        <w:t xml:space="preserve">) </w:t>
      </w:r>
      <w:r w:rsidR="00197DA4" w:rsidRPr="00E9044E">
        <w:t>The</w:t>
      </w:r>
      <w:r w:rsidR="00450FA2">
        <w:t xml:space="preserve"> District’s Administrative Procedure</w:t>
      </w:r>
      <w:r w:rsidR="00197DA4" w:rsidRPr="00E9044E">
        <w:t xml:space="preserve"> </w:t>
      </w:r>
      <w:r w:rsidR="00F317A5">
        <w:t>Act</w:t>
      </w:r>
      <w:r w:rsidR="00DD7D51">
        <w:t xml:space="preserve"> </w:t>
      </w:r>
      <w:r w:rsidR="00D6755E">
        <w:t xml:space="preserve">authorizes the </w:t>
      </w:r>
      <w:r w:rsidR="0014630F" w:rsidRPr="0014630F">
        <w:t xml:space="preserve">District of Columbia Court of Appeals </w:t>
      </w:r>
      <w:r w:rsidR="0014630F">
        <w:t>to review orders and decisions of administrative agencies in contested cases.</w:t>
      </w:r>
      <w:r w:rsidR="007E4ACB">
        <w:t xml:space="preserve"> </w:t>
      </w:r>
      <w:r w:rsidR="0014630F">
        <w:t>In exercising that review, the Court has</w:t>
      </w:r>
      <w:r w:rsidR="00D909C5">
        <w:t xml:space="preserve"> </w:t>
      </w:r>
      <w:r w:rsidR="00DD7D51">
        <w:t>the power,</w:t>
      </w:r>
      <w:r w:rsidR="00D909C5">
        <w:t xml:space="preserve"> “[s]</w:t>
      </w:r>
      <w:r w:rsidR="00D909C5" w:rsidRPr="00D909C5">
        <w:t>o far as necessary to decision and where presented, to decide all relevant questions of law, to interpret constitutional and statutory provisions, and to determine the meaning or applicability of the terms of any action</w:t>
      </w:r>
      <w:r w:rsidR="00D909C5">
        <w:t>”</w:t>
      </w:r>
      <w:r w:rsidR="007E4ACB">
        <w:t xml:space="preserve"> </w:t>
      </w:r>
      <w:r w:rsidR="00761DF4">
        <w:t>(</w:t>
      </w:r>
      <w:r w:rsidR="000A10FC">
        <w:t>D.C. Official Code § 2-</w:t>
      </w:r>
      <w:r w:rsidR="000A10FC" w:rsidRPr="008F1BC4">
        <w:t>5</w:t>
      </w:r>
      <w:r w:rsidR="000A10FC">
        <w:t>10</w:t>
      </w:r>
      <w:r w:rsidR="00B928DA">
        <w:t>(a)(1)</w:t>
      </w:r>
      <w:r w:rsidR="00761DF4">
        <w:t>)</w:t>
      </w:r>
      <w:r w:rsidR="000A10FC">
        <w:t>.</w:t>
      </w:r>
      <w:r w:rsidR="007E4ACB">
        <w:t xml:space="preserve"> </w:t>
      </w:r>
      <w:r w:rsidR="00B72FDA">
        <w:t>The Court</w:t>
      </w:r>
      <w:r w:rsidR="0014630F">
        <w:t xml:space="preserve"> is authorized</w:t>
      </w:r>
      <w:r w:rsidR="00592920">
        <w:t>, among other things,</w:t>
      </w:r>
      <w:r w:rsidR="0014630F">
        <w:t xml:space="preserve"> to </w:t>
      </w:r>
      <w:r w:rsidR="00592920">
        <w:t>“</w:t>
      </w:r>
      <w:r w:rsidR="00592920" w:rsidRPr="00592920">
        <w:t>hold unlawful and set aside any action or findings and conclusions found to be</w:t>
      </w:r>
      <w:r w:rsidR="00592920">
        <w:t>” (A</w:t>
      </w:r>
      <w:r w:rsidR="00B72FDA">
        <w:t>) “</w:t>
      </w:r>
      <w:r w:rsidR="00592920">
        <w:t>Arbitrary, capricious, an abuse of discretion, or otherwise not in accordance with law;</w:t>
      </w:r>
      <w:r w:rsidR="00B72FDA">
        <w:t xml:space="preserve">” </w:t>
      </w:r>
      <w:r w:rsidR="00592920">
        <w:t xml:space="preserve">(B) </w:t>
      </w:r>
      <w:r w:rsidR="00B72FDA">
        <w:t>“</w:t>
      </w:r>
      <w:r w:rsidR="00592920">
        <w:t>Contrary to constitutional right, power, privilege, or immunity;</w:t>
      </w:r>
      <w:r w:rsidR="00B72FDA">
        <w:t xml:space="preserve">” </w:t>
      </w:r>
      <w:r w:rsidR="00592920">
        <w:t xml:space="preserve">(C) </w:t>
      </w:r>
      <w:r w:rsidR="00B72FDA">
        <w:t>“</w:t>
      </w:r>
      <w:r w:rsidR="00592920">
        <w:t xml:space="preserve">In excess of statutory jurisdiction, </w:t>
      </w:r>
      <w:r w:rsidR="00592920">
        <w:lastRenderedPageBreak/>
        <w:t>authority, or limitations or short of statutory jurisdiction, authority, or limitations or short of statutory rights;</w:t>
      </w:r>
      <w:r w:rsidR="00B72FDA">
        <w:t xml:space="preserve">” </w:t>
      </w:r>
      <w:r w:rsidR="00592920">
        <w:t xml:space="preserve">(D) </w:t>
      </w:r>
      <w:r w:rsidR="00B72FDA">
        <w:t>“</w:t>
      </w:r>
      <w:r w:rsidR="00592920">
        <w:t>Without observance of procedure required by law, including any applicable procedure provided by this subchapter;</w:t>
      </w:r>
      <w:r w:rsidR="00B72FDA">
        <w:t>”</w:t>
      </w:r>
      <w:r w:rsidR="00592920">
        <w:t xml:space="preserve"> or</w:t>
      </w:r>
      <w:r w:rsidR="00B72FDA">
        <w:t xml:space="preserve"> </w:t>
      </w:r>
      <w:r w:rsidR="00592920">
        <w:t xml:space="preserve">(E) </w:t>
      </w:r>
      <w:r w:rsidR="00B72FDA">
        <w:t>“</w:t>
      </w:r>
      <w:r w:rsidR="00592920">
        <w:t>Unsupported by substantial evidence in the record of the proceedings before the Court</w:t>
      </w:r>
      <w:r w:rsidR="00B72FDA">
        <w:t>”</w:t>
      </w:r>
      <w:r w:rsidR="007E4ACB">
        <w:t xml:space="preserve"> </w:t>
      </w:r>
      <w:r w:rsidR="00761DF4">
        <w:t>(</w:t>
      </w:r>
      <w:r w:rsidR="00A905BD">
        <w:t>D.C. Official Code § 2-</w:t>
      </w:r>
      <w:r w:rsidR="00A905BD" w:rsidRPr="008F1BC4">
        <w:t>5</w:t>
      </w:r>
      <w:r w:rsidR="00A905BD">
        <w:t>10</w:t>
      </w:r>
      <w:r w:rsidR="00B928DA">
        <w:t>(a)(3)</w:t>
      </w:r>
      <w:r w:rsidR="00761DF4">
        <w:t>)</w:t>
      </w:r>
      <w:r w:rsidR="00A905BD">
        <w:t>.</w:t>
      </w:r>
    </w:p>
    <w:p w14:paraId="521943F5" w14:textId="7FBCDB6C" w:rsidR="005726B0" w:rsidRPr="00E9044E" w:rsidRDefault="00253143" w:rsidP="005726B0">
      <w:pPr>
        <w:pStyle w:val="paragraph"/>
        <w:spacing w:before="0" w:beforeAutospacing="0" w:after="0" w:afterAutospacing="0" w:line="480" w:lineRule="auto"/>
        <w:ind w:firstLine="720"/>
        <w:textAlignment w:val="baseline"/>
      </w:pPr>
      <w:r w:rsidRPr="00E9044E">
        <w:t>(</w:t>
      </w:r>
      <w:r w:rsidR="00555C9E">
        <w:t>c</w:t>
      </w:r>
      <w:r w:rsidRPr="00E9044E">
        <w:t xml:space="preserve">) </w:t>
      </w:r>
      <w:r w:rsidR="00CC1404">
        <w:t xml:space="preserve">For </w:t>
      </w:r>
      <w:r w:rsidR="000577A4">
        <w:t xml:space="preserve">decades, </w:t>
      </w:r>
      <w:r w:rsidR="002B390F">
        <w:t>the Court of Appeals has</w:t>
      </w:r>
      <w:r w:rsidR="00CC1404" w:rsidRPr="00B86CBC">
        <w:t xml:space="preserve"> </w:t>
      </w:r>
      <w:r w:rsidR="000577A4">
        <w:t xml:space="preserve">deferred to </w:t>
      </w:r>
      <w:r w:rsidR="00CC1404" w:rsidRPr="00B86CBC">
        <w:t>agency interpretations of ambiguous statutes</w:t>
      </w:r>
      <w:r w:rsidR="00B264DB">
        <w:t xml:space="preserve"> and regulations</w:t>
      </w:r>
      <w:r w:rsidR="00CC1404" w:rsidRPr="00B86CBC">
        <w:t xml:space="preserve"> </w:t>
      </w:r>
      <w:r w:rsidR="00A50D2A">
        <w:t>unless the agency’s reading was</w:t>
      </w:r>
      <w:r w:rsidR="00CC1404" w:rsidRPr="00B86CBC">
        <w:t xml:space="preserve"> unreasonable.</w:t>
      </w:r>
      <w:r w:rsidR="007E4ACB">
        <w:t xml:space="preserve"> </w:t>
      </w:r>
      <w:r w:rsidR="002B390F" w:rsidRPr="00635C41">
        <w:rPr>
          <w:i/>
          <w:iCs/>
        </w:rPr>
        <w:t>See, e.g.</w:t>
      </w:r>
      <w:r w:rsidR="002B390F">
        <w:t xml:space="preserve">, </w:t>
      </w:r>
      <w:r w:rsidR="00B27992" w:rsidRPr="00635C41">
        <w:rPr>
          <w:i/>
          <w:iCs/>
        </w:rPr>
        <w:t>Nunnally v. D.C. Metro. Police Dep</w:t>
      </w:r>
      <w:r w:rsidR="00B27992">
        <w:rPr>
          <w:i/>
          <w:iCs/>
        </w:rPr>
        <w:t>’</w:t>
      </w:r>
      <w:r w:rsidR="00B27992" w:rsidRPr="00635C41">
        <w:rPr>
          <w:i/>
          <w:iCs/>
        </w:rPr>
        <w:t>t</w:t>
      </w:r>
      <w:r w:rsidR="00B27992" w:rsidRPr="00B27992">
        <w:t>, 80 A.3d 1004, 1010 (D.C. 2013)</w:t>
      </w:r>
      <w:r w:rsidR="00B27992">
        <w:t xml:space="preserve"> (</w:t>
      </w:r>
      <w:r w:rsidR="00B27992" w:rsidRPr="00B27992">
        <w:t>“Where we determine that a statutory term is ambiguous, . . . we must defer to an agency</w:t>
      </w:r>
      <w:r w:rsidR="00B27992">
        <w:t>’</w:t>
      </w:r>
      <w:r w:rsidR="00B27992" w:rsidRPr="00B27992">
        <w:t>s interpretation of that ambiguity that is reasonable and not plainly wrong or inconsistent with the legislature</w:t>
      </w:r>
      <w:r w:rsidR="00B27992">
        <w:t>’</w:t>
      </w:r>
      <w:r w:rsidR="00B27992" w:rsidRPr="00B27992">
        <w:t>s intent.”</w:t>
      </w:r>
      <w:r w:rsidR="00B27992">
        <w:t xml:space="preserve">); </w:t>
      </w:r>
      <w:r w:rsidR="00522A4A" w:rsidRPr="00635C41">
        <w:rPr>
          <w:i/>
          <w:iCs/>
        </w:rPr>
        <w:t>Eldridge v. D.C. Dep</w:t>
      </w:r>
      <w:r w:rsidR="00522A4A">
        <w:rPr>
          <w:i/>
          <w:iCs/>
        </w:rPr>
        <w:t>’</w:t>
      </w:r>
      <w:r w:rsidR="00522A4A" w:rsidRPr="00635C41">
        <w:rPr>
          <w:i/>
          <w:iCs/>
        </w:rPr>
        <w:t>t of Hum. Servs.</w:t>
      </w:r>
      <w:r w:rsidR="00522A4A" w:rsidRPr="00522A4A">
        <w:t>, 248 A.3d 146, 155 (D.C. 2021)</w:t>
      </w:r>
      <w:r w:rsidR="00522A4A">
        <w:t xml:space="preserve"> (similar)</w:t>
      </w:r>
      <w:r w:rsidR="00927AA1" w:rsidRPr="00927AA1">
        <w:t>.</w:t>
      </w:r>
      <w:r w:rsidR="007E4ACB">
        <w:t xml:space="preserve"> </w:t>
      </w:r>
      <w:r w:rsidR="00A50D2A">
        <w:t xml:space="preserve">This </w:t>
      </w:r>
      <w:r w:rsidR="002170BB">
        <w:t xml:space="preserve">standard of review </w:t>
      </w:r>
      <w:r w:rsidR="009D60FF">
        <w:t>is substantially similar to</w:t>
      </w:r>
      <w:r w:rsidR="00B124D6">
        <w:t xml:space="preserve"> the approach adopted by the United States Supreme Court in </w:t>
      </w:r>
      <w:r w:rsidR="00B124D6" w:rsidRPr="00114A30">
        <w:rPr>
          <w:i/>
          <w:iCs/>
        </w:rPr>
        <w:t>Chevron, U.S.A., Inc. v</w:t>
      </w:r>
      <w:r w:rsidR="00B054BE">
        <w:rPr>
          <w:i/>
          <w:iCs/>
        </w:rPr>
        <w:t>. Natural Resources Defense Council</w:t>
      </w:r>
      <w:r w:rsidR="00B124D6" w:rsidRPr="00114A30">
        <w:rPr>
          <w:i/>
          <w:iCs/>
        </w:rPr>
        <w:t>, Inc.</w:t>
      </w:r>
      <w:r w:rsidR="00B124D6" w:rsidRPr="00114A30">
        <w:t>, 467 U.S. 837, 842</w:t>
      </w:r>
      <w:r w:rsidR="006E5C9C">
        <w:t>-44</w:t>
      </w:r>
      <w:r w:rsidR="00B124D6" w:rsidRPr="00114A30">
        <w:t xml:space="preserve"> (1984)</w:t>
      </w:r>
      <w:r w:rsidR="009D60FF">
        <w:t>,</w:t>
      </w:r>
      <w:r w:rsidR="00B264DB">
        <w:t xml:space="preserve"> and its progeny</w:t>
      </w:r>
      <w:r w:rsidR="00B124D6">
        <w:t>.</w:t>
      </w:r>
      <w:r w:rsidR="007E4ACB">
        <w:t xml:space="preserve"> </w:t>
      </w:r>
      <w:r w:rsidR="00B54853">
        <w:t>This doctrine</w:t>
      </w:r>
      <w:r w:rsidR="00D10FC4">
        <w:t xml:space="preserve"> also traces </w:t>
      </w:r>
      <w:r w:rsidR="00B54853">
        <w:t>back</w:t>
      </w:r>
      <w:r w:rsidR="00D10FC4">
        <w:t xml:space="preserve"> </w:t>
      </w:r>
      <w:r w:rsidR="00A235C1">
        <w:t xml:space="preserve">to judicial decisions </w:t>
      </w:r>
      <w:r w:rsidR="00083BC6">
        <w:t xml:space="preserve">predating </w:t>
      </w:r>
      <w:r w:rsidR="00D76D06">
        <w:t xml:space="preserve">the </w:t>
      </w:r>
      <w:r w:rsidR="00A235C1">
        <w:t>adoption of the District’s Administrative Procedure Act</w:t>
      </w:r>
      <w:r w:rsidR="009C3F48">
        <w:t>.</w:t>
      </w:r>
      <w:r w:rsidR="007E4ACB">
        <w:t xml:space="preserve"> </w:t>
      </w:r>
      <w:r w:rsidR="009C3F48" w:rsidRPr="0098097B">
        <w:rPr>
          <w:i/>
          <w:iCs/>
        </w:rPr>
        <w:t>See Red Lion Broad. Co. v. FCC</w:t>
      </w:r>
      <w:r w:rsidR="009C3F48" w:rsidRPr="0098097B">
        <w:t>, 395 U.S. 367, 381</w:t>
      </w:r>
      <w:r w:rsidR="009C3F48">
        <w:t>-</w:t>
      </w:r>
      <w:r w:rsidR="009C3F48" w:rsidRPr="0098097B">
        <w:t xml:space="preserve">82 (1969); </w:t>
      </w:r>
      <w:r w:rsidR="009C3F48" w:rsidRPr="0098097B">
        <w:rPr>
          <w:i/>
          <w:iCs/>
        </w:rPr>
        <w:t>Udall v. Tallman</w:t>
      </w:r>
      <w:r w:rsidR="009C3F48" w:rsidRPr="0098097B">
        <w:t>, 380 U.S. 1, 16</w:t>
      </w:r>
      <w:r w:rsidR="001B3C8C">
        <w:t>-17</w:t>
      </w:r>
      <w:r w:rsidR="009C3F48" w:rsidRPr="0098097B">
        <w:t xml:space="preserve"> (1965);</w:t>
      </w:r>
      <w:r w:rsidR="009C3F48">
        <w:rPr>
          <w:i/>
          <w:iCs/>
        </w:rPr>
        <w:t xml:space="preserve"> </w:t>
      </w:r>
      <w:r w:rsidR="009C3F48" w:rsidRPr="0098097B">
        <w:rPr>
          <w:i/>
          <w:iCs/>
        </w:rPr>
        <w:t>Unemployment Comp. Comm</w:t>
      </w:r>
      <w:r w:rsidR="009C3F48">
        <w:rPr>
          <w:i/>
          <w:iCs/>
        </w:rPr>
        <w:t>’</w:t>
      </w:r>
      <w:r w:rsidR="009C3F48" w:rsidRPr="0098097B">
        <w:rPr>
          <w:i/>
          <w:iCs/>
        </w:rPr>
        <w:t>n of Alaska v. Aragon</w:t>
      </w:r>
      <w:r w:rsidR="009C3F48" w:rsidRPr="0098097B">
        <w:t>, 329 U.S. 143, 153</w:t>
      </w:r>
      <w:r w:rsidR="009C3F48">
        <w:t>-</w:t>
      </w:r>
      <w:r w:rsidR="009C3F48" w:rsidRPr="0098097B">
        <w:t>54 (1946)</w:t>
      </w:r>
      <w:r w:rsidR="009C3F48">
        <w:t>.</w:t>
      </w:r>
    </w:p>
    <w:p w14:paraId="4705C008" w14:textId="0F79CCFB" w:rsidR="00BE10A5" w:rsidRDefault="00BE10A5" w:rsidP="006C28A4">
      <w:pPr>
        <w:pStyle w:val="paragraph"/>
        <w:spacing w:before="0" w:beforeAutospacing="0" w:after="0" w:afterAutospacing="0" w:line="480" w:lineRule="auto"/>
        <w:ind w:firstLine="720"/>
        <w:textAlignment w:val="baseline"/>
      </w:pPr>
      <w:r>
        <w:t>(d) The Court</w:t>
      </w:r>
      <w:r w:rsidR="00C26DCF">
        <w:t xml:space="preserve"> of Appeals</w:t>
      </w:r>
      <w:r>
        <w:t xml:space="preserve"> has </w:t>
      </w:r>
      <w:r w:rsidR="00A55F77">
        <w:t>additionally</w:t>
      </w:r>
      <w:r>
        <w:t xml:space="preserve"> made clear that this deference extends to </w:t>
      </w:r>
      <w:r w:rsidR="004371DE">
        <w:t>an agency’s interpretation of its own regulations</w:t>
      </w:r>
      <w:r w:rsidR="00A55F77">
        <w:t xml:space="preserve"> </w:t>
      </w:r>
      <w:r w:rsidR="004371DE">
        <w:t xml:space="preserve">and </w:t>
      </w:r>
      <w:r w:rsidR="00A37706">
        <w:t>should also be applied by</w:t>
      </w:r>
      <w:r w:rsidR="004371DE">
        <w:t xml:space="preserve"> other tribunals reviewing the work of </w:t>
      </w:r>
      <w:r w:rsidR="003A5D92">
        <w:t>the administrative agency, like the Office of Administrative Hearings.</w:t>
      </w:r>
      <w:r w:rsidR="007E4ACB">
        <w:t xml:space="preserve"> </w:t>
      </w:r>
      <w:r w:rsidR="003A5D92" w:rsidRPr="00635C41">
        <w:rPr>
          <w:i/>
          <w:iCs/>
        </w:rPr>
        <w:t xml:space="preserve">See </w:t>
      </w:r>
      <w:r w:rsidR="003A5D92" w:rsidRPr="00D46C77">
        <w:rPr>
          <w:i/>
          <w:iCs/>
        </w:rPr>
        <w:t>D.C. Dep’t of Env’t v. E. Capitol Exxon</w:t>
      </w:r>
      <w:r w:rsidR="003A5D92" w:rsidRPr="00927AA1">
        <w:t>, 64 A.3d 878, 879 (D.C. 2013)</w:t>
      </w:r>
      <w:r w:rsidR="003A5D92">
        <w:t>.</w:t>
      </w:r>
    </w:p>
    <w:p w14:paraId="311C5727" w14:textId="3A1A461C" w:rsidR="00504097" w:rsidRDefault="005726B0" w:rsidP="006C28A4">
      <w:pPr>
        <w:pStyle w:val="paragraph"/>
        <w:spacing w:before="0" w:beforeAutospacing="0" w:after="0" w:afterAutospacing="0" w:line="480" w:lineRule="auto"/>
        <w:ind w:firstLine="720"/>
        <w:textAlignment w:val="baseline"/>
      </w:pPr>
      <w:r w:rsidRPr="00E9044E">
        <w:t>(</w:t>
      </w:r>
      <w:r w:rsidR="00BE10A5">
        <w:t>e</w:t>
      </w:r>
      <w:r w:rsidRPr="00E9044E">
        <w:t xml:space="preserve">) </w:t>
      </w:r>
      <w:r w:rsidR="0002005D" w:rsidRPr="0002005D">
        <w:t>Deference has become an important background principle for ensuring stability in the law.</w:t>
      </w:r>
      <w:r w:rsidR="007E4ACB">
        <w:t xml:space="preserve"> </w:t>
      </w:r>
      <w:r w:rsidR="0002005D" w:rsidRPr="0002005D">
        <w:t xml:space="preserve">Individuals can rely on agency </w:t>
      </w:r>
      <w:r w:rsidR="00351BA8">
        <w:t>interpretations</w:t>
      </w:r>
      <w:r w:rsidR="0002005D" w:rsidRPr="0002005D">
        <w:t xml:space="preserve"> as </w:t>
      </w:r>
      <w:r w:rsidR="00351BA8">
        <w:t xml:space="preserve">authoritative </w:t>
      </w:r>
      <w:r w:rsidR="0002005D" w:rsidRPr="0002005D">
        <w:t xml:space="preserve">unless a clear conflict </w:t>
      </w:r>
      <w:r w:rsidR="00C457D7">
        <w:t xml:space="preserve">exists </w:t>
      </w:r>
      <w:r w:rsidR="0002005D" w:rsidRPr="0002005D">
        <w:t xml:space="preserve">between </w:t>
      </w:r>
      <w:r w:rsidR="0026098E">
        <w:t>the agency’s interpretation and the statute or regulation being interpreted</w:t>
      </w:r>
      <w:r w:rsidR="00FF3708" w:rsidRPr="00E9044E">
        <w:t>.</w:t>
      </w:r>
      <w:r w:rsidR="007E4ACB">
        <w:t xml:space="preserve"> </w:t>
      </w:r>
      <w:r w:rsidR="00243F57">
        <w:t xml:space="preserve">The Council </w:t>
      </w:r>
      <w:r w:rsidR="00243F57">
        <w:lastRenderedPageBreak/>
        <w:t xml:space="preserve">has </w:t>
      </w:r>
      <w:r w:rsidR="00C26DCF">
        <w:t xml:space="preserve">also </w:t>
      </w:r>
      <w:r w:rsidR="00243F57">
        <w:t xml:space="preserve">legislated for decades </w:t>
      </w:r>
      <w:r w:rsidR="00C26DCF">
        <w:t xml:space="preserve">with this background principle and </w:t>
      </w:r>
      <w:r w:rsidR="00243F57">
        <w:t xml:space="preserve">the assumption that </w:t>
      </w:r>
      <w:r w:rsidR="009D23EE">
        <w:t xml:space="preserve">an agency’s reasonable construction of a statute it is charged </w:t>
      </w:r>
      <w:r w:rsidR="008A5B1B">
        <w:t>with</w:t>
      </w:r>
      <w:r w:rsidR="009D23EE">
        <w:t xml:space="preserve"> administer</w:t>
      </w:r>
      <w:r w:rsidR="008A5B1B">
        <w:t>ing</w:t>
      </w:r>
      <w:r w:rsidR="009D23EE">
        <w:t xml:space="preserve"> will be sustained </w:t>
      </w:r>
      <w:r w:rsidR="008A5B1B">
        <w:t>on judicial review.</w:t>
      </w:r>
      <w:r w:rsidR="00635C41">
        <w:t xml:space="preserve"> </w:t>
      </w:r>
      <w:r w:rsidR="00635C41" w:rsidRPr="00635C41">
        <w:t>This principle is consistent with the Council’s understanding of the current judicial review provision of the District’s Administrative Procedure Act.</w:t>
      </w:r>
    </w:p>
    <w:p w14:paraId="03B09746" w14:textId="3DEF0725" w:rsidR="003B1D66" w:rsidRDefault="006C28A4" w:rsidP="00AD1F1F">
      <w:pPr>
        <w:pStyle w:val="paragraph"/>
        <w:spacing w:before="0" w:beforeAutospacing="0" w:after="0" w:afterAutospacing="0" w:line="480" w:lineRule="auto"/>
        <w:ind w:firstLine="720"/>
        <w:textAlignment w:val="baseline"/>
      </w:pPr>
      <w:r w:rsidRPr="00E9044E">
        <w:t>(</w:t>
      </w:r>
      <w:r w:rsidR="002362B7">
        <w:t>f</w:t>
      </w:r>
      <w:r w:rsidRPr="00E9044E">
        <w:t xml:space="preserve">) </w:t>
      </w:r>
      <w:r w:rsidR="004853E7">
        <w:t xml:space="preserve">In June 2024, in </w:t>
      </w:r>
      <w:r w:rsidR="004853E7" w:rsidRPr="00646ADD">
        <w:rPr>
          <w:i/>
          <w:iCs/>
        </w:rPr>
        <w:t xml:space="preserve">Loper Bright </w:t>
      </w:r>
      <w:r w:rsidR="00FD6E2F">
        <w:rPr>
          <w:i/>
          <w:iCs/>
        </w:rPr>
        <w:t xml:space="preserve">Enterprises </w:t>
      </w:r>
      <w:r w:rsidR="004853E7" w:rsidRPr="00646ADD">
        <w:rPr>
          <w:i/>
          <w:iCs/>
        </w:rPr>
        <w:t>v. Raimondo</w:t>
      </w:r>
      <w:r w:rsidR="004853E7">
        <w:t>,</w:t>
      </w:r>
      <w:r w:rsidR="00FD6E2F">
        <w:t xml:space="preserve"> </w:t>
      </w:r>
      <w:r w:rsidR="00FD6E2F" w:rsidRPr="00FD6E2F">
        <w:t>144 S. Ct. 2244</w:t>
      </w:r>
      <w:r w:rsidR="008B1C77">
        <w:t xml:space="preserve"> </w:t>
      </w:r>
      <w:r w:rsidR="00FD6E2F" w:rsidRPr="00FD6E2F">
        <w:t>(2024)</w:t>
      </w:r>
      <w:r w:rsidR="00B26560">
        <w:t>,</w:t>
      </w:r>
      <w:r w:rsidR="00635C41">
        <w:t xml:space="preserve"> however,</w:t>
      </w:r>
      <w:r w:rsidR="004853E7">
        <w:t xml:space="preserve"> the </w:t>
      </w:r>
      <w:r w:rsidR="008B1C77">
        <w:t xml:space="preserve">United States </w:t>
      </w:r>
      <w:r w:rsidR="004853E7">
        <w:t xml:space="preserve">Supreme Court overruled </w:t>
      </w:r>
      <w:r w:rsidR="004853E7" w:rsidRPr="003A72F2">
        <w:rPr>
          <w:i/>
          <w:iCs/>
        </w:rPr>
        <w:t>Chevron</w:t>
      </w:r>
      <w:r w:rsidR="004853E7">
        <w:t xml:space="preserve"> and held that the federal Administrative Procedure Act prohibits courts from deferring to agencies when they offer reasonable interpretations of ambiguous federal statutes</w:t>
      </w:r>
      <w:r w:rsidR="00AD1F1F" w:rsidRPr="00E9044E">
        <w:t>.</w:t>
      </w:r>
    </w:p>
    <w:p w14:paraId="270709BA" w14:textId="6A1F30BD" w:rsidR="00E0197E" w:rsidRDefault="00E0197E" w:rsidP="00AD1F1F">
      <w:pPr>
        <w:pStyle w:val="paragraph"/>
        <w:spacing w:before="0" w:beforeAutospacing="0" w:after="0" w:afterAutospacing="0" w:line="480" w:lineRule="auto"/>
        <w:ind w:firstLine="720"/>
        <w:textAlignment w:val="baseline"/>
      </w:pPr>
      <w:r>
        <w:t>(</w:t>
      </w:r>
      <w:r w:rsidR="002362B7">
        <w:t>g</w:t>
      </w:r>
      <w:r>
        <w:t xml:space="preserve">) </w:t>
      </w:r>
      <w:r w:rsidR="00635C41" w:rsidRPr="00635C41">
        <w:t>Notwithstanding the Council’s understanding of the District’s Administrative Procedure Act</w:t>
      </w:r>
      <w:r w:rsidR="00635C41">
        <w:t xml:space="preserve">, the </w:t>
      </w:r>
      <w:r w:rsidR="004F2792">
        <w:t xml:space="preserve">textual similarities between the scope of review provision in the federal Administrative Procedure Act, </w:t>
      </w:r>
      <w:r w:rsidR="00165CD4">
        <w:t xml:space="preserve">which the Supreme Court interpreted in </w:t>
      </w:r>
      <w:r w:rsidR="00165CD4" w:rsidRPr="00165CD4">
        <w:rPr>
          <w:i/>
          <w:iCs/>
        </w:rPr>
        <w:t>Loper Bright</w:t>
      </w:r>
      <w:r w:rsidR="00165CD4">
        <w:t>,</w:t>
      </w:r>
      <w:r w:rsidR="004F2792">
        <w:t xml:space="preserve"> </w:t>
      </w:r>
      <w:r w:rsidR="00165CD4">
        <w:t xml:space="preserve">and the </w:t>
      </w:r>
      <w:r w:rsidR="004F2792">
        <w:t>judicial review provision of the District’s Administrative Procedure Act</w:t>
      </w:r>
      <w:r>
        <w:t xml:space="preserve"> </w:t>
      </w:r>
      <w:r w:rsidR="00165CD4">
        <w:t xml:space="preserve">may create </w:t>
      </w:r>
      <w:r w:rsidR="00C04530">
        <w:t>confusion and uncertainty as to what standard of review applies when reviewing District agency action</w:t>
      </w:r>
      <w:r w:rsidR="00BA625B">
        <w:t>.</w:t>
      </w:r>
    </w:p>
    <w:p w14:paraId="7612321E" w14:textId="1029FEA7" w:rsidR="00BA625B" w:rsidRDefault="00BA625B" w:rsidP="00AD1F1F">
      <w:pPr>
        <w:pStyle w:val="paragraph"/>
        <w:spacing w:before="0" w:beforeAutospacing="0" w:after="0" w:afterAutospacing="0" w:line="480" w:lineRule="auto"/>
        <w:ind w:firstLine="720"/>
        <w:textAlignment w:val="baseline"/>
      </w:pPr>
      <w:r>
        <w:t>(</w:t>
      </w:r>
      <w:r w:rsidR="002362B7">
        <w:t>h</w:t>
      </w:r>
      <w:r>
        <w:t xml:space="preserve">) </w:t>
      </w:r>
      <w:r w:rsidR="00050744">
        <w:t>Therefore, t</w:t>
      </w:r>
      <w:r w:rsidR="00050744" w:rsidRPr="00050744">
        <w:t>here exists an immediate need to amend the District of Columbia Administrative Procedure Act, approved October 21, 1968 (82 Stat. 1209; D.C. Official Code § 2-510), to clarify that in reviewing an order or decision of the Mayor or an agency, a reviewing court or tribunal shall defer to the Mayor or agency’s reasonable interpretation of a statute or regulation it administers so long as that interpretation is not plainly wrong,</w:t>
      </w:r>
      <w:r w:rsidR="002321E5">
        <w:t xml:space="preserve"> or</w:t>
      </w:r>
      <w:r w:rsidR="00050744" w:rsidRPr="00050744">
        <w:t xml:space="preserve"> inconsistent with the statutory or regulatory language or legislature’s intent</w:t>
      </w:r>
      <w:r w:rsidR="002321E5">
        <w:t>.</w:t>
      </w:r>
    </w:p>
    <w:p w14:paraId="7ACEDF99" w14:textId="32AE62A1" w:rsidR="00A41E29" w:rsidRPr="0042327F" w:rsidRDefault="00A41E29" w:rsidP="00A41E29">
      <w:pPr>
        <w:pStyle w:val="paragraph"/>
        <w:spacing w:before="0" w:beforeAutospacing="0" w:after="0" w:afterAutospacing="0" w:line="480" w:lineRule="auto"/>
        <w:ind w:firstLine="720"/>
        <w:textAlignment w:val="baseline"/>
      </w:pPr>
      <w:r w:rsidRPr="00E9044E">
        <w:rPr>
          <w:rStyle w:val="normaltextrun"/>
        </w:rPr>
        <w:t xml:space="preserve">Sec. 3. The Council of the District of Columbia determines that the circumstances enumerated in section 2 constitute emergency circumstances making it necessary that the </w:t>
      </w:r>
      <w:r w:rsidR="00F317A5">
        <w:t xml:space="preserve">Review of Agency Action Clarification Emergency </w:t>
      </w:r>
      <w:r w:rsidR="00F317A5" w:rsidRPr="00FB1265">
        <w:t>Amendment Act of 202</w:t>
      </w:r>
      <w:r w:rsidR="00F317A5">
        <w:t xml:space="preserve">4 </w:t>
      </w:r>
      <w:r w:rsidRPr="00E9044E">
        <w:rPr>
          <w:rStyle w:val="normaltextrun"/>
        </w:rPr>
        <w:t>be adopted after a single reading.</w:t>
      </w:r>
    </w:p>
    <w:p w14:paraId="1BD20A69" w14:textId="44A3718A" w:rsidR="00A3175F" w:rsidRPr="0042327F" w:rsidRDefault="00A41E29" w:rsidP="00A41E29">
      <w:pPr>
        <w:pStyle w:val="paragraph"/>
        <w:spacing w:before="0" w:beforeAutospacing="0" w:after="0" w:afterAutospacing="0" w:line="480" w:lineRule="auto"/>
        <w:ind w:firstLine="720"/>
        <w:textAlignment w:val="baseline"/>
      </w:pPr>
      <w:r w:rsidRPr="00E9044E">
        <w:rPr>
          <w:rStyle w:val="normaltextrun"/>
        </w:rPr>
        <w:lastRenderedPageBreak/>
        <w:t>Sec. 4. This resolution shall take effect immediately.</w:t>
      </w:r>
    </w:p>
    <w:sectPr w:rsidR="00A3175F" w:rsidRPr="0042327F" w:rsidSect="005E67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AB9F" w14:textId="77777777" w:rsidR="00960462" w:rsidRDefault="00960462">
      <w:pPr>
        <w:spacing w:after="0" w:line="240" w:lineRule="auto"/>
      </w:pPr>
      <w:r>
        <w:separator/>
      </w:r>
    </w:p>
  </w:endnote>
  <w:endnote w:type="continuationSeparator" w:id="0">
    <w:p w14:paraId="101D6940" w14:textId="77777777" w:rsidR="00960462" w:rsidRDefault="0096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8CC1" w14:textId="77777777" w:rsidR="00C9060E" w:rsidRDefault="00C90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836679"/>
      <w:docPartObj>
        <w:docPartGallery w:val="Page Numbers (Bottom of Page)"/>
        <w:docPartUnique/>
      </w:docPartObj>
    </w:sdtPr>
    <w:sdtEndPr>
      <w:rPr>
        <w:noProof/>
      </w:rPr>
    </w:sdtEndPr>
    <w:sdtContent>
      <w:p w14:paraId="536ACCDE" w14:textId="77777777" w:rsidR="00A436C6" w:rsidRDefault="00296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247AD" w14:textId="77777777" w:rsidR="00A436C6" w:rsidRDefault="00A43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C02C" w14:textId="77777777" w:rsidR="00C9060E" w:rsidRDefault="00C9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F2544" w14:textId="77777777" w:rsidR="00960462" w:rsidRDefault="00960462">
      <w:pPr>
        <w:spacing w:after="0" w:line="240" w:lineRule="auto"/>
      </w:pPr>
      <w:r>
        <w:separator/>
      </w:r>
    </w:p>
  </w:footnote>
  <w:footnote w:type="continuationSeparator" w:id="0">
    <w:p w14:paraId="7010B7AE" w14:textId="77777777" w:rsidR="00960462" w:rsidRDefault="00960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4F1A" w14:textId="77777777" w:rsidR="00C9060E" w:rsidRDefault="00C90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620C" w14:textId="592F8D06" w:rsidR="00C9060E" w:rsidRDefault="00C90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338C" w14:textId="77777777" w:rsidR="00C9060E" w:rsidRDefault="00C90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F3F"/>
    <w:multiLevelType w:val="hybridMultilevel"/>
    <w:tmpl w:val="D19006A4"/>
    <w:lvl w:ilvl="0" w:tplc="8D80FA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75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TG3sDQ1tDSxNDVV0lEKTi0uzszPAykwqgUABjFKESwAAAA="/>
  </w:docVars>
  <w:rsids>
    <w:rsidRoot w:val="00A41E29"/>
    <w:rsid w:val="00002D66"/>
    <w:rsid w:val="00006AFF"/>
    <w:rsid w:val="00015E72"/>
    <w:rsid w:val="000176D0"/>
    <w:rsid w:val="0002005D"/>
    <w:rsid w:val="000323EE"/>
    <w:rsid w:val="00046C3B"/>
    <w:rsid w:val="00050744"/>
    <w:rsid w:val="00055C9B"/>
    <w:rsid w:val="000577A4"/>
    <w:rsid w:val="00071530"/>
    <w:rsid w:val="0007475B"/>
    <w:rsid w:val="00075A0F"/>
    <w:rsid w:val="00083BC6"/>
    <w:rsid w:val="00084607"/>
    <w:rsid w:val="000942A2"/>
    <w:rsid w:val="00094F2C"/>
    <w:rsid w:val="000A10FC"/>
    <w:rsid w:val="000A751E"/>
    <w:rsid w:val="000D150A"/>
    <w:rsid w:val="000D5DDD"/>
    <w:rsid w:val="000E1E4C"/>
    <w:rsid w:val="000F5F6D"/>
    <w:rsid w:val="001154F8"/>
    <w:rsid w:val="00130567"/>
    <w:rsid w:val="00141D73"/>
    <w:rsid w:val="0014630F"/>
    <w:rsid w:val="00156560"/>
    <w:rsid w:val="001627DF"/>
    <w:rsid w:val="00165CD4"/>
    <w:rsid w:val="00173015"/>
    <w:rsid w:val="00175B0C"/>
    <w:rsid w:val="0018114D"/>
    <w:rsid w:val="00181166"/>
    <w:rsid w:val="001848F1"/>
    <w:rsid w:val="00190527"/>
    <w:rsid w:val="00191A09"/>
    <w:rsid w:val="00197DA4"/>
    <w:rsid w:val="001A3D0D"/>
    <w:rsid w:val="001B291B"/>
    <w:rsid w:val="001B3C8C"/>
    <w:rsid w:val="001C4937"/>
    <w:rsid w:val="001D004F"/>
    <w:rsid w:val="001D2D11"/>
    <w:rsid w:val="001F0FBA"/>
    <w:rsid w:val="001F135E"/>
    <w:rsid w:val="001F1DD4"/>
    <w:rsid w:val="001F3AF1"/>
    <w:rsid w:val="002170BB"/>
    <w:rsid w:val="00224753"/>
    <w:rsid w:val="00232026"/>
    <w:rsid w:val="002321E5"/>
    <w:rsid w:val="002362B7"/>
    <w:rsid w:val="00243F57"/>
    <w:rsid w:val="00251EFE"/>
    <w:rsid w:val="00253143"/>
    <w:rsid w:val="002541B6"/>
    <w:rsid w:val="0026098E"/>
    <w:rsid w:val="00262D11"/>
    <w:rsid w:val="002726FE"/>
    <w:rsid w:val="002960A3"/>
    <w:rsid w:val="002A08FA"/>
    <w:rsid w:val="002A34F2"/>
    <w:rsid w:val="002B3444"/>
    <w:rsid w:val="002B390F"/>
    <w:rsid w:val="002C3F9A"/>
    <w:rsid w:val="002E1266"/>
    <w:rsid w:val="002E443A"/>
    <w:rsid w:val="002F57A2"/>
    <w:rsid w:val="00302B26"/>
    <w:rsid w:val="0031212F"/>
    <w:rsid w:val="00321DAE"/>
    <w:rsid w:val="0032506F"/>
    <w:rsid w:val="00326B8D"/>
    <w:rsid w:val="00326DA0"/>
    <w:rsid w:val="00341B99"/>
    <w:rsid w:val="003471C7"/>
    <w:rsid w:val="00351BA8"/>
    <w:rsid w:val="00365F27"/>
    <w:rsid w:val="00372A00"/>
    <w:rsid w:val="003961B5"/>
    <w:rsid w:val="00396BC3"/>
    <w:rsid w:val="00396CE7"/>
    <w:rsid w:val="003A5D92"/>
    <w:rsid w:val="003B0672"/>
    <w:rsid w:val="003B1D66"/>
    <w:rsid w:val="003C0171"/>
    <w:rsid w:val="003C1E31"/>
    <w:rsid w:val="003C2300"/>
    <w:rsid w:val="003C3527"/>
    <w:rsid w:val="003C40F2"/>
    <w:rsid w:val="003C6A5C"/>
    <w:rsid w:val="003E7E85"/>
    <w:rsid w:val="003F4886"/>
    <w:rsid w:val="003F6927"/>
    <w:rsid w:val="00411937"/>
    <w:rsid w:val="0042327F"/>
    <w:rsid w:val="0043044E"/>
    <w:rsid w:val="004371DE"/>
    <w:rsid w:val="0044378F"/>
    <w:rsid w:val="004437E4"/>
    <w:rsid w:val="00450FA2"/>
    <w:rsid w:val="00451DD4"/>
    <w:rsid w:val="00462EA7"/>
    <w:rsid w:val="004804CC"/>
    <w:rsid w:val="004853E7"/>
    <w:rsid w:val="00492DE1"/>
    <w:rsid w:val="004A0331"/>
    <w:rsid w:val="004A60F9"/>
    <w:rsid w:val="004A6949"/>
    <w:rsid w:val="004A6B32"/>
    <w:rsid w:val="004C418D"/>
    <w:rsid w:val="004C5002"/>
    <w:rsid w:val="004E3C8C"/>
    <w:rsid w:val="004F2792"/>
    <w:rsid w:val="00504097"/>
    <w:rsid w:val="00506EFE"/>
    <w:rsid w:val="005076F5"/>
    <w:rsid w:val="005078EB"/>
    <w:rsid w:val="0051483D"/>
    <w:rsid w:val="00516CD2"/>
    <w:rsid w:val="00522A4A"/>
    <w:rsid w:val="0052625D"/>
    <w:rsid w:val="00550B5B"/>
    <w:rsid w:val="00555C9E"/>
    <w:rsid w:val="00562400"/>
    <w:rsid w:val="0056636F"/>
    <w:rsid w:val="005726B0"/>
    <w:rsid w:val="005816F1"/>
    <w:rsid w:val="00592920"/>
    <w:rsid w:val="00595047"/>
    <w:rsid w:val="005A09F6"/>
    <w:rsid w:val="005B1DA9"/>
    <w:rsid w:val="005B7B03"/>
    <w:rsid w:val="005C2E1A"/>
    <w:rsid w:val="005C48FE"/>
    <w:rsid w:val="005D6BF9"/>
    <w:rsid w:val="005E1C96"/>
    <w:rsid w:val="005E6768"/>
    <w:rsid w:val="005E6DFE"/>
    <w:rsid w:val="00604001"/>
    <w:rsid w:val="006103B7"/>
    <w:rsid w:val="00621FC3"/>
    <w:rsid w:val="006232F5"/>
    <w:rsid w:val="00634BA2"/>
    <w:rsid w:val="00635C41"/>
    <w:rsid w:val="00637088"/>
    <w:rsid w:val="00642303"/>
    <w:rsid w:val="00642D3F"/>
    <w:rsid w:val="00650894"/>
    <w:rsid w:val="00662896"/>
    <w:rsid w:val="0069289E"/>
    <w:rsid w:val="00697B69"/>
    <w:rsid w:val="006A79E2"/>
    <w:rsid w:val="006B2F50"/>
    <w:rsid w:val="006B6C5E"/>
    <w:rsid w:val="006C0260"/>
    <w:rsid w:val="006C28A4"/>
    <w:rsid w:val="006C4A28"/>
    <w:rsid w:val="006D43FA"/>
    <w:rsid w:val="006E5C9C"/>
    <w:rsid w:val="006F2186"/>
    <w:rsid w:val="006F465E"/>
    <w:rsid w:val="00706CFE"/>
    <w:rsid w:val="00720F90"/>
    <w:rsid w:val="00721B19"/>
    <w:rsid w:val="00722B07"/>
    <w:rsid w:val="007344F9"/>
    <w:rsid w:val="00747ED4"/>
    <w:rsid w:val="0075157D"/>
    <w:rsid w:val="00761A69"/>
    <w:rsid w:val="00761DF4"/>
    <w:rsid w:val="00763151"/>
    <w:rsid w:val="007640D5"/>
    <w:rsid w:val="007662FC"/>
    <w:rsid w:val="00793719"/>
    <w:rsid w:val="007A3FDC"/>
    <w:rsid w:val="007B1021"/>
    <w:rsid w:val="007B2ACF"/>
    <w:rsid w:val="007E4ACB"/>
    <w:rsid w:val="007F2470"/>
    <w:rsid w:val="007F42DC"/>
    <w:rsid w:val="00804468"/>
    <w:rsid w:val="00814D01"/>
    <w:rsid w:val="0082017B"/>
    <w:rsid w:val="00824F7C"/>
    <w:rsid w:val="008369C4"/>
    <w:rsid w:val="00841BC9"/>
    <w:rsid w:val="00847D0D"/>
    <w:rsid w:val="008521DC"/>
    <w:rsid w:val="008528E9"/>
    <w:rsid w:val="00873616"/>
    <w:rsid w:val="00875250"/>
    <w:rsid w:val="008941BE"/>
    <w:rsid w:val="008A1BE5"/>
    <w:rsid w:val="008A4F53"/>
    <w:rsid w:val="008A5B1B"/>
    <w:rsid w:val="008B0633"/>
    <w:rsid w:val="008B1C77"/>
    <w:rsid w:val="008B1FB6"/>
    <w:rsid w:val="008D6FCF"/>
    <w:rsid w:val="00922C88"/>
    <w:rsid w:val="00927462"/>
    <w:rsid w:val="00927AA1"/>
    <w:rsid w:val="0093526C"/>
    <w:rsid w:val="0093579C"/>
    <w:rsid w:val="00935DD4"/>
    <w:rsid w:val="00960462"/>
    <w:rsid w:val="00960D22"/>
    <w:rsid w:val="00965691"/>
    <w:rsid w:val="00973439"/>
    <w:rsid w:val="00976272"/>
    <w:rsid w:val="0098296C"/>
    <w:rsid w:val="00983F98"/>
    <w:rsid w:val="009868E8"/>
    <w:rsid w:val="009879ED"/>
    <w:rsid w:val="00987DE2"/>
    <w:rsid w:val="009A1786"/>
    <w:rsid w:val="009B191B"/>
    <w:rsid w:val="009C1E7E"/>
    <w:rsid w:val="009C3F48"/>
    <w:rsid w:val="009D10B4"/>
    <w:rsid w:val="009D23EE"/>
    <w:rsid w:val="009D60FF"/>
    <w:rsid w:val="009E3B16"/>
    <w:rsid w:val="009F0B8D"/>
    <w:rsid w:val="009F4C0B"/>
    <w:rsid w:val="009F67D6"/>
    <w:rsid w:val="00A007BD"/>
    <w:rsid w:val="00A02A5A"/>
    <w:rsid w:val="00A0657B"/>
    <w:rsid w:val="00A07369"/>
    <w:rsid w:val="00A14101"/>
    <w:rsid w:val="00A15B46"/>
    <w:rsid w:val="00A203B8"/>
    <w:rsid w:val="00A2079D"/>
    <w:rsid w:val="00A20C6E"/>
    <w:rsid w:val="00A235C1"/>
    <w:rsid w:val="00A256F6"/>
    <w:rsid w:val="00A3175F"/>
    <w:rsid w:val="00A37706"/>
    <w:rsid w:val="00A41E29"/>
    <w:rsid w:val="00A436C6"/>
    <w:rsid w:val="00A50D2A"/>
    <w:rsid w:val="00A55F77"/>
    <w:rsid w:val="00A641F1"/>
    <w:rsid w:val="00A777DA"/>
    <w:rsid w:val="00A87E97"/>
    <w:rsid w:val="00A905BD"/>
    <w:rsid w:val="00AA0BFB"/>
    <w:rsid w:val="00AA6D2E"/>
    <w:rsid w:val="00AA727A"/>
    <w:rsid w:val="00AB6F64"/>
    <w:rsid w:val="00AD1F1F"/>
    <w:rsid w:val="00AD217C"/>
    <w:rsid w:val="00AF1EBE"/>
    <w:rsid w:val="00AF2FB1"/>
    <w:rsid w:val="00AF5011"/>
    <w:rsid w:val="00B054BE"/>
    <w:rsid w:val="00B05D3F"/>
    <w:rsid w:val="00B124D6"/>
    <w:rsid w:val="00B2526A"/>
    <w:rsid w:val="00B264DB"/>
    <w:rsid w:val="00B26560"/>
    <w:rsid w:val="00B27992"/>
    <w:rsid w:val="00B30F43"/>
    <w:rsid w:val="00B36F51"/>
    <w:rsid w:val="00B51041"/>
    <w:rsid w:val="00B54853"/>
    <w:rsid w:val="00B72FDA"/>
    <w:rsid w:val="00B75F83"/>
    <w:rsid w:val="00B928DA"/>
    <w:rsid w:val="00B94BA1"/>
    <w:rsid w:val="00BA438E"/>
    <w:rsid w:val="00BA625B"/>
    <w:rsid w:val="00BD0B1A"/>
    <w:rsid w:val="00BE10A5"/>
    <w:rsid w:val="00BF537C"/>
    <w:rsid w:val="00C04530"/>
    <w:rsid w:val="00C05F90"/>
    <w:rsid w:val="00C26DCF"/>
    <w:rsid w:val="00C3238C"/>
    <w:rsid w:val="00C457D7"/>
    <w:rsid w:val="00C602BC"/>
    <w:rsid w:val="00C61438"/>
    <w:rsid w:val="00C62086"/>
    <w:rsid w:val="00C67ACB"/>
    <w:rsid w:val="00C877B7"/>
    <w:rsid w:val="00C9060E"/>
    <w:rsid w:val="00C92015"/>
    <w:rsid w:val="00C96D73"/>
    <w:rsid w:val="00CA3B64"/>
    <w:rsid w:val="00CB07F2"/>
    <w:rsid w:val="00CB5697"/>
    <w:rsid w:val="00CC1404"/>
    <w:rsid w:val="00CD084A"/>
    <w:rsid w:val="00CD1A53"/>
    <w:rsid w:val="00CE2F84"/>
    <w:rsid w:val="00D10FC4"/>
    <w:rsid w:val="00D1515A"/>
    <w:rsid w:val="00D20D2E"/>
    <w:rsid w:val="00D265EC"/>
    <w:rsid w:val="00D47F49"/>
    <w:rsid w:val="00D51881"/>
    <w:rsid w:val="00D63429"/>
    <w:rsid w:val="00D642F6"/>
    <w:rsid w:val="00D6755E"/>
    <w:rsid w:val="00D705AC"/>
    <w:rsid w:val="00D74EAC"/>
    <w:rsid w:val="00D76D06"/>
    <w:rsid w:val="00D80F92"/>
    <w:rsid w:val="00D812F4"/>
    <w:rsid w:val="00D85D3D"/>
    <w:rsid w:val="00D865C3"/>
    <w:rsid w:val="00D87786"/>
    <w:rsid w:val="00D909C5"/>
    <w:rsid w:val="00DB74E1"/>
    <w:rsid w:val="00DB7601"/>
    <w:rsid w:val="00DC2202"/>
    <w:rsid w:val="00DD7D51"/>
    <w:rsid w:val="00DE0185"/>
    <w:rsid w:val="00E0197E"/>
    <w:rsid w:val="00E02BE7"/>
    <w:rsid w:val="00E359D7"/>
    <w:rsid w:val="00E54539"/>
    <w:rsid w:val="00E65A58"/>
    <w:rsid w:val="00E81384"/>
    <w:rsid w:val="00E86FFE"/>
    <w:rsid w:val="00E9044E"/>
    <w:rsid w:val="00E9075E"/>
    <w:rsid w:val="00EA4228"/>
    <w:rsid w:val="00EB25AF"/>
    <w:rsid w:val="00EC0052"/>
    <w:rsid w:val="00ED5C14"/>
    <w:rsid w:val="00F0515E"/>
    <w:rsid w:val="00F16157"/>
    <w:rsid w:val="00F170A8"/>
    <w:rsid w:val="00F21F53"/>
    <w:rsid w:val="00F2346D"/>
    <w:rsid w:val="00F23958"/>
    <w:rsid w:val="00F266ED"/>
    <w:rsid w:val="00F3019F"/>
    <w:rsid w:val="00F307FA"/>
    <w:rsid w:val="00F317A5"/>
    <w:rsid w:val="00F3439E"/>
    <w:rsid w:val="00F42B3A"/>
    <w:rsid w:val="00F527D0"/>
    <w:rsid w:val="00F52F9D"/>
    <w:rsid w:val="00F67567"/>
    <w:rsid w:val="00F70C03"/>
    <w:rsid w:val="00F8042E"/>
    <w:rsid w:val="00F82686"/>
    <w:rsid w:val="00F90682"/>
    <w:rsid w:val="00F9218D"/>
    <w:rsid w:val="00F92297"/>
    <w:rsid w:val="00FA1004"/>
    <w:rsid w:val="00FB5F41"/>
    <w:rsid w:val="00FC084D"/>
    <w:rsid w:val="00FC2634"/>
    <w:rsid w:val="00FC6D9C"/>
    <w:rsid w:val="00FD1402"/>
    <w:rsid w:val="00FD6E2F"/>
    <w:rsid w:val="00FF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C3F4"/>
  <w15:chartTrackingRefBased/>
  <w15:docId w15:val="{97D246DA-D512-4330-AA65-817D3B6E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1E29"/>
    <w:pPr>
      <w:spacing w:before="100" w:beforeAutospacing="1" w:after="100" w:afterAutospacing="1" w:line="240" w:lineRule="auto"/>
    </w:pPr>
    <w:rPr>
      <w:rFonts w:eastAsia="Times New Roman"/>
    </w:rPr>
  </w:style>
  <w:style w:type="character" w:customStyle="1" w:styleId="eop">
    <w:name w:val="eop"/>
    <w:basedOn w:val="DefaultParagraphFont"/>
    <w:rsid w:val="00A41E29"/>
  </w:style>
  <w:style w:type="character" w:customStyle="1" w:styleId="normaltextrun">
    <w:name w:val="normaltextrun"/>
    <w:basedOn w:val="DefaultParagraphFont"/>
    <w:rsid w:val="00A41E29"/>
  </w:style>
  <w:style w:type="paragraph" w:styleId="Footer">
    <w:name w:val="footer"/>
    <w:basedOn w:val="Normal"/>
    <w:link w:val="FooterChar"/>
    <w:uiPriority w:val="99"/>
    <w:unhideWhenUsed/>
    <w:rsid w:val="00A4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29"/>
  </w:style>
  <w:style w:type="character" w:styleId="LineNumber">
    <w:name w:val="line number"/>
    <w:basedOn w:val="DefaultParagraphFont"/>
    <w:uiPriority w:val="99"/>
    <w:semiHidden/>
    <w:unhideWhenUsed/>
    <w:rsid w:val="00A41E29"/>
  </w:style>
  <w:style w:type="character" w:customStyle="1" w:styleId="contextualspellingandgrammarerror">
    <w:name w:val="contextualspellingandgrammarerror"/>
    <w:basedOn w:val="DefaultParagraphFont"/>
    <w:rsid w:val="00A41E29"/>
  </w:style>
  <w:style w:type="paragraph" w:styleId="Revision">
    <w:name w:val="Revision"/>
    <w:hidden/>
    <w:uiPriority w:val="99"/>
    <w:semiHidden/>
    <w:rsid w:val="00763151"/>
    <w:pPr>
      <w:spacing w:after="0" w:line="240" w:lineRule="auto"/>
    </w:pPr>
  </w:style>
  <w:style w:type="character" w:styleId="CommentReference">
    <w:name w:val="annotation reference"/>
    <w:basedOn w:val="DefaultParagraphFont"/>
    <w:uiPriority w:val="99"/>
    <w:semiHidden/>
    <w:unhideWhenUsed/>
    <w:rsid w:val="00763151"/>
    <w:rPr>
      <w:sz w:val="16"/>
      <w:szCs w:val="16"/>
    </w:rPr>
  </w:style>
  <w:style w:type="paragraph" w:styleId="CommentText">
    <w:name w:val="annotation text"/>
    <w:basedOn w:val="Normal"/>
    <w:link w:val="CommentTextChar"/>
    <w:uiPriority w:val="99"/>
    <w:unhideWhenUsed/>
    <w:rsid w:val="00763151"/>
    <w:pPr>
      <w:spacing w:line="240" w:lineRule="auto"/>
    </w:pPr>
    <w:rPr>
      <w:sz w:val="20"/>
      <w:szCs w:val="20"/>
    </w:rPr>
  </w:style>
  <w:style w:type="character" w:customStyle="1" w:styleId="CommentTextChar">
    <w:name w:val="Comment Text Char"/>
    <w:basedOn w:val="DefaultParagraphFont"/>
    <w:link w:val="CommentText"/>
    <w:uiPriority w:val="99"/>
    <w:rsid w:val="00763151"/>
    <w:rPr>
      <w:sz w:val="20"/>
      <w:szCs w:val="20"/>
    </w:rPr>
  </w:style>
  <w:style w:type="paragraph" w:styleId="CommentSubject">
    <w:name w:val="annotation subject"/>
    <w:basedOn w:val="CommentText"/>
    <w:next w:val="CommentText"/>
    <w:link w:val="CommentSubjectChar"/>
    <w:uiPriority w:val="99"/>
    <w:semiHidden/>
    <w:unhideWhenUsed/>
    <w:rsid w:val="00763151"/>
    <w:rPr>
      <w:b/>
      <w:bCs/>
    </w:rPr>
  </w:style>
  <w:style w:type="character" w:customStyle="1" w:styleId="CommentSubjectChar">
    <w:name w:val="Comment Subject Char"/>
    <w:basedOn w:val="CommentTextChar"/>
    <w:link w:val="CommentSubject"/>
    <w:uiPriority w:val="99"/>
    <w:semiHidden/>
    <w:rsid w:val="00763151"/>
    <w:rPr>
      <w:b/>
      <w:bCs/>
      <w:sz w:val="20"/>
      <w:szCs w:val="20"/>
    </w:rPr>
  </w:style>
  <w:style w:type="paragraph" w:styleId="Header">
    <w:name w:val="header"/>
    <w:basedOn w:val="Normal"/>
    <w:link w:val="HeaderChar"/>
    <w:uiPriority w:val="99"/>
    <w:unhideWhenUsed/>
    <w:rsid w:val="009C1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E7E"/>
  </w:style>
  <w:style w:type="paragraph" w:styleId="ListParagraph">
    <w:name w:val="List Paragraph"/>
    <w:basedOn w:val="Normal"/>
    <w:uiPriority w:val="34"/>
    <w:qFormat/>
    <w:rsid w:val="00E9044E"/>
    <w:pPr>
      <w:widowControl w:val="0"/>
      <w:spacing w:after="0" w:line="240" w:lineRule="auto"/>
      <w:ind w:left="720"/>
      <w:contextualSpacing/>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301016">
      <w:bodyDiv w:val="1"/>
      <w:marLeft w:val="0"/>
      <w:marRight w:val="0"/>
      <w:marTop w:val="0"/>
      <w:marBottom w:val="0"/>
      <w:divBdr>
        <w:top w:val="none" w:sz="0" w:space="0" w:color="auto"/>
        <w:left w:val="none" w:sz="0" w:space="0" w:color="auto"/>
        <w:bottom w:val="none" w:sz="0" w:space="0" w:color="auto"/>
        <w:right w:val="none" w:sz="0" w:space="0" w:color="auto"/>
      </w:divBdr>
    </w:div>
    <w:div w:id="1093672768">
      <w:bodyDiv w:val="1"/>
      <w:marLeft w:val="0"/>
      <w:marRight w:val="0"/>
      <w:marTop w:val="0"/>
      <w:marBottom w:val="0"/>
      <w:divBdr>
        <w:top w:val="none" w:sz="0" w:space="0" w:color="auto"/>
        <w:left w:val="none" w:sz="0" w:space="0" w:color="auto"/>
        <w:bottom w:val="none" w:sz="0" w:space="0" w:color="auto"/>
        <w:right w:val="none" w:sz="0" w:space="0" w:color="auto"/>
      </w:divBdr>
    </w:div>
    <w:div w:id="15745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3DF42518-25DB-446E-A31F-16A641E30B7F}">
  <ds:schemaRefs>
    <ds:schemaRef ds:uri="http://schemas.microsoft.com/sharepoint/v3/contenttype/forms"/>
  </ds:schemaRefs>
</ds:datastoreItem>
</file>

<file path=customXml/itemProps2.xml><?xml version="1.0" encoding="utf-8"?>
<ds:datastoreItem xmlns:ds="http://schemas.openxmlformats.org/officeDocument/2006/customXml" ds:itemID="{6C364286-7CEF-49F0-AE46-D661851C2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C855C-20FD-49AD-B68E-7E96BE32D4EF}">
  <ds:schemaRefs>
    <ds:schemaRef ds:uri="http://schemas.openxmlformats.org/officeDocument/2006/bibliography"/>
  </ds:schemaRefs>
</ds:datastoreItem>
</file>

<file path=customXml/itemProps4.xml><?xml version="1.0" encoding="utf-8"?>
<ds:datastoreItem xmlns:ds="http://schemas.openxmlformats.org/officeDocument/2006/customXml" ds:itemID="{A4991568-A724-45DF-B995-12868BEDDCEC}">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Blotner, Joanna (Council)</dc:creator>
  <cp:keywords/>
  <dc:description/>
  <cp:lastModifiedBy>Blaine Stum</cp:lastModifiedBy>
  <cp:revision>15</cp:revision>
  <dcterms:created xsi:type="dcterms:W3CDTF">2024-10-17T18:54:00Z</dcterms:created>
  <dcterms:modified xsi:type="dcterms:W3CDTF">2024-10-31T14:01:00Z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8becb96c-6b75-406d-adf5-3aa156d97717</vt:lpwstr>
  </property>
  <property fmtid="{D5CDD505-2E9C-101B-9397-08002B2CF9AE}" pid="3" name="ContentTypeId">
    <vt:lpwstr>0x010100EBB5D6633AC45E4A99C2E93A39478830</vt:lpwstr>
  </property>
  <property fmtid="{D5CDD505-2E9C-101B-9397-08002B2CF9AE}" pid="4" name="MediaServiceImageTags">
    <vt:lpwstr/>
  </property>
</Properties>
</file>