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6C46" w14:textId="6F4F1956" w:rsidR="001450E6" w:rsidRPr="00037FFD" w:rsidRDefault="00037FFD" w:rsidP="00037FFD">
      <w:pPr>
        <w:spacing w:after="0" w:line="240" w:lineRule="auto"/>
        <w:contextualSpacing/>
        <w:rPr>
          <w:rFonts w:eastAsia="Aptos"/>
          <w:u w:val="single"/>
        </w:rPr>
      </w:pPr>
      <w:bookmarkStart w:id="0" w:name="_Hlk187138302"/>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sidRPr="00037FFD">
        <w:rPr>
          <w:rFonts w:eastAsia="Aptos"/>
          <w:u w:val="single"/>
        </w:rPr>
        <w:tab/>
      </w:r>
      <w:r w:rsidRPr="00037FFD">
        <w:rPr>
          <w:rFonts w:eastAsia="Aptos"/>
          <w:u w:val="single"/>
        </w:rPr>
        <w:tab/>
      </w:r>
      <w:r w:rsidRPr="00037FFD">
        <w:rPr>
          <w:rFonts w:eastAsia="Aptos"/>
          <w:u w:val="single"/>
        </w:rPr>
        <w:tab/>
      </w:r>
      <w:r w:rsidRPr="00037FFD">
        <w:rPr>
          <w:rFonts w:eastAsia="Aptos"/>
          <w:u w:val="single"/>
        </w:rPr>
        <w:tab/>
      </w:r>
    </w:p>
    <w:p w14:paraId="2BA9290B" w14:textId="545EF3BA" w:rsidR="00037FFD" w:rsidRDefault="00037FFD" w:rsidP="00037FFD">
      <w:pPr>
        <w:spacing w:after="0" w:line="240" w:lineRule="auto"/>
        <w:contextualSpacing/>
        <w:rPr>
          <w:rFonts w:eastAsia="Aptos"/>
        </w:rPr>
      </w:pP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sidR="003907CD">
        <w:rPr>
          <w:rFonts w:eastAsia="Aptos"/>
        </w:rPr>
        <w:t xml:space="preserve">      </w:t>
      </w:r>
      <w:r>
        <w:rPr>
          <w:rFonts w:eastAsia="Aptos"/>
        </w:rPr>
        <w:t>Chairman Phil Mendelson</w:t>
      </w:r>
    </w:p>
    <w:p w14:paraId="583EB8F7" w14:textId="77777777" w:rsidR="00037FFD" w:rsidRDefault="00037FFD" w:rsidP="00D702FE">
      <w:pPr>
        <w:spacing w:after="0" w:line="240" w:lineRule="auto"/>
        <w:contextualSpacing/>
        <w:jc w:val="center"/>
        <w:rPr>
          <w:rFonts w:eastAsia="Aptos"/>
        </w:rPr>
      </w:pPr>
    </w:p>
    <w:p w14:paraId="6C48AAA3" w14:textId="77777777" w:rsidR="001450E6" w:rsidRDefault="001450E6" w:rsidP="00D702FE">
      <w:pPr>
        <w:spacing w:after="0" w:line="240" w:lineRule="auto"/>
        <w:contextualSpacing/>
        <w:jc w:val="center"/>
        <w:rPr>
          <w:rFonts w:eastAsia="Aptos"/>
        </w:rPr>
      </w:pPr>
    </w:p>
    <w:p w14:paraId="029BD9DA" w14:textId="77777777" w:rsidR="001450E6" w:rsidRDefault="001450E6" w:rsidP="00D702FE">
      <w:pPr>
        <w:spacing w:after="0" w:line="240" w:lineRule="auto"/>
        <w:contextualSpacing/>
        <w:jc w:val="center"/>
        <w:rPr>
          <w:rFonts w:eastAsia="Aptos"/>
        </w:rPr>
      </w:pPr>
    </w:p>
    <w:p w14:paraId="5E2AE51E" w14:textId="3AC715CB" w:rsidR="00D702FE" w:rsidRPr="00D702FE" w:rsidRDefault="001450E6" w:rsidP="00D702FE">
      <w:pPr>
        <w:spacing w:after="0" w:line="240" w:lineRule="auto"/>
        <w:contextualSpacing/>
        <w:jc w:val="center"/>
        <w:rPr>
          <w:rFonts w:eastAsia="Aptos"/>
        </w:rPr>
      </w:pPr>
      <w:r>
        <w:rPr>
          <w:rFonts w:eastAsia="Aptos"/>
        </w:rPr>
        <w:t>A BILL</w:t>
      </w:r>
    </w:p>
    <w:p w14:paraId="2EA49308" w14:textId="77777777" w:rsidR="00D702FE" w:rsidRPr="00D702FE" w:rsidRDefault="00D702FE" w:rsidP="00D702FE">
      <w:pPr>
        <w:spacing w:after="0" w:line="240" w:lineRule="auto"/>
        <w:contextualSpacing/>
        <w:jc w:val="center"/>
        <w:rPr>
          <w:rFonts w:eastAsia="Aptos"/>
        </w:rPr>
      </w:pPr>
    </w:p>
    <w:p w14:paraId="7AA9594B" w14:textId="77777777" w:rsidR="00D702FE" w:rsidRPr="00D702FE" w:rsidRDefault="00D702FE" w:rsidP="00D702FE">
      <w:pPr>
        <w:spacing w:after="0" w:line="240" w:lineRule="auto"/>
        <w:contextualSpacing/>
        <w:jc w:val="center"/>
        <w:rPr>
          <w:rFonts w:eastAsia="Aptos"/>
        </w:rPr>
      </w:pPr>
      <w:r w:rsidRPr="00D702FE">
        <w:rPr>
          <w:rFonts w:eastAsia="Aptos"/>
        </w:rPr>
        <w:t>___________</w:t>
      </w:r>
    </w:p>
    <w:p w14:paraId="4DD385B6" w14:textId="77777777" w:rsidR="00D702FE" w:rsidRPr="00D702FE" w:rsidRDefault="00D702FE" w:rsidP="00D702FE">
      <w:pPr>
        <w:spacing w:after="0" w:line="240" w:lineRule="auto"/>
        <w:contextualSpacing/>
        <w:jc w:val="center"/>
        <w:rPr>
          <w:rFonts w:eastAsia="Aptos"/>
          <w:u w:val="single"/>
        </w:rPr>
      </w:pPr>
    </w:p>
    <w:p w14:paraId="46BD6D82" w14:textId="77777777" w:rsidR="00D702FE" w:rsidRPr="00D702FE" w:rsidRDefault="00D702FE" w:rsidP="00D702FE">
      <w:pPr>
        <w:spacing w:after="0" w:line="240" w:lineRule="auto"/>
        <w:contextualSpacing/>
        <w:jc w:val="center"/>
        <w:rPr>
          <w:rFonts w:eastAsia="Aptos"/>
          <w:u w:val="single"/>
        </w:rPr>
      </w:pPr>
    </w:p>
    <w:p w14:paraId="6C1EFE9F" w14:textId="77777777" w:rsidR="00D702FE" w:rsidRPr="00D702FE" w:rsidRDefault="00D702FE" w:rsidP="00D702FE">
      <w:pPr>
        <w:spacing w:after="0" w:line="240" w:lineRule="auto"/>
        <w:contextualSpacing/>
        <w:jc w:val="center"/>
        <w:rPr>
          <w:rFonts w:eastAsia="Aptos"/>
        </w:rPr>
      </w:pPr>
      <w:r w:rsidRPr="00D702FE">
        <w:rPr>
          <w:rFonts w:eastAsia="Aptos"/>
        </w:rPr>
        <w:t>IN THE COUNCIL OF THE DISTRICT OF COLUMBIA</w:t>
      </w:r>
    </w:p>
    <w:p w14:paraId="7C1B1743" w14:textId="77777777" w:rsidR="00D702FE" w:rsidRPr="00D702FE" w:rsidRDefault="00D702FE" w:rsidP="00D702FE">
      <w:pPr>
        <w:spacing w:after="0" w:line="240" w:lineRule="auto"/>
        <w:contextualSpacing/>
        <w:jc w:val="center"/>
        <w:rPr>
          <w:rFonts w:eastAsia="Aptos"/>
        </w:rPr>
      </w:pPr>
    </w:p>
    <w:p w14:paraId="36586F22" w14:textId="77777777" w:rsidR="00D702FE" w:rsidRPr="00D702FE" w:rsidRDefault="00D702FE" w:rsidP="00D702FE">
      <w:pPr>
        <w:spacing w:after="0" w:line="240" w:lineRule="auto"/>
        <w:contextualSpacing/>
        <w:jc w:val="center"/>
        <w:rPr>
          <w:rFonts w:eastAsia="Aptos"/>
        </w:rPr>
      </w:pPr>
      <w:r w:rsidRPr="00D702FE">
        <w:rPr>
          <w:rFonts w:eastAsia="Aptos"/>
        </w:rPr>
        <w:t>___________</w:t>
      </w:r>
    </w:p>
    <w:p w14:paraId="3F3B534F" w14:textId="6F28F4DB" w:rsidR="00D702FE" w:rsidRPr="00D702FE" w:rsidRDefault="00D702FE" w:rsidP="00D702FE">
      <w:pPr>
        <w:spacing w:after="0" w:line="240" w:lineRule="auto"/>
        <w:contextualSpacing/>
        <w:rPr>
          <w:rFonts w:eastAsia="Aptos"/>
        </w:rPr>
      </w:pPr>
    </w:p>
    <w:bookmarkEnd w:id="0"/>
    <w:p w14:paraId="2CE300BE" w14:textId="77777777" w:rsidR="00D04F3C" w:rsidRDefault="00D04F3C" w:rsidP="00D702FE">
      <w:pPr>
        <w:spacing w:after="0" w:line="240" w:lineRule="auto"/>
      </w:pPr>
    </w:p>
    <w:p w14:paraId="4B295367" w14:textId="132E02BE" w:rsidR="00D04F3C" w:rsidRDefault="00174DF0" w:rsidP="00D702FE">
      <w:pPr>
        <w:spacing w:after="0" w:line="240" w:lineRule="auto"/>
        <w:ind w:left="720" w:hanging="720"/>
      </w:pPr>
      <w:r w:rsidRPr="00174DF0">
        <w:t>To amend</w:t>
      </w:r>
      <w:r w:rsidR="00F30787">
        <w:t>, on an emergency basis,</w:t>
      </w:r>
      <w:r w:rsidRPr="00174DF0">
        <w:t xml:space="preserve"> </w:t>
      </w:r>
      <w:r w:rsidR="00542222">
        <w:t>section 47-813</w:t>
      </w:r>
      <w:r w:rsidRPr="00174DF0">
        <w:t xml:space="preserve"> of the D</w:t>
      </w:r>
      <w:r w:rsidR="00542222">
        <w:t xml:space="preserve">istrict of </w:t>
      </w:r>
      <w:r w:rsidRPr="00174DF0">
        <w:t>C</w:t>
      </w:r>
      <w:r w:rsidR="00542222">
        <w:t>olumbia</w:t>
      </w:r>
      <w:r w:rsidRPr="00174DF0">
        <w:t xml:space="preserve"> Official Code to provide for more timely classification changes for commercial properties that are to be put to residential use</w:t>
      </w:r>
      <w:r w:rsidR="00D526B6">
        <w:t xml:space="preserve">, </w:t>
      </w:r>
      <w:r w:rsidRPr="00174DF0">
        <w:t>to provide for an application process to make classification changes</w:t>
      </w:r>
      <w:r w:rsidR="00D526B6">
        <w:t>,</w:t>
      </w:r>
      <w:r w:rsidRPr="00174DF0">
        <w:t xml:space="preserve"> to provide for appeal rights if such application is denied</w:t>
      </w:r>
      <w:r w:rsidR="00D526B6">
        <w:t>,</w:t>
      </w:r>
      <w:r w:rsidRPr="00174DF0">
        <w:t xml:space="preserve"> and to provide for a claw back in the event the real property is not timely put to residential use.</w:t>
      </w:r>
    </w:p>
    <w:p w14:paraId="1C4F001A" w14:textId="1DA12C33" w:rsidR="00174DF0" w:rsidRDefault="00174DF0" w:rsidP="00D702FE">
      <w:pPr>
        <w:spacing w:after="0" w:line="240" w:lineRule="auto"/>
      </w:pPr>
      <w:r w:rsidRPr="00174DF0">
        <w:t xml:space="preserve">  </w:t>
      </w:r>
    </w:p>
    <w:p w14:paraId="30D7B003" w14:textId="2265DCED" w:rsidR="00E06E52" w:rsidRDefault="00D04F3C" w:rsidP="00704884">
      <w:pPr>
        <w:spacing w:after="0" w:line="480" w:lineRule="auto"/>
      </w:pPr>
      <w:r>
        <w:tab/>
      </w:r>
      <w:r w:rsidR="00174DF0" w:rsidRPr="00174DF0">
        <w:t xml:space="preserve">BE IT ENACTED BY THE COUNCIL OF THE DISTRICT OF COLUMBIA, </w:t>
      </w:r>
      <w:proofErr w:type="gramStart"/>
      <w:r w:rsidR="00174DF0" w:rsidRPr="00174DF0">
        <w:t>That</w:t>
      </w:r>
      <w:proofErr w:type="gramEnd"/>
      <w:r w:rsidR="00174DF0" w:rsidRPr="00174DF0">
        <w:t xml:space="preserve"> this act may be cited as the “Residential Building Permit Classification</w:t>
      </w:r>
      <w:r w:rsidR="00F30787">
        <w:t xml:space="preserve"> Emergency</w:t>
      </w:r>
      <w:r w:rsidR="00174DF0" w:rsidRPr="00174DF0">
        <w:t xml:space="preserve"> </w:t>
      </w:r>
      <w:r w:rsidR="00174DF0">
        <w:t xml:space="preserve">Amendment </w:t>
      </w:r>
      <w:r w:rsidR="00174DF0" w:rsidRPr="00174DF0">
        <w:t>Act of 202</w:t>
      </w:r>
      <w:r w:rsidR="00981F0D">
        <w:t>6</w:t>
      </w:r>
      <w:r w:rsidR="00174DF0" w:rsidRPr="00174DF0">
        <w:t>”.</w:t>
      </w:r>
    </w:p>
    <w:p w14:paraId="62F6D3D4" w14:textId="2E5BB953" w:rsidR="00174DF0" w:rsidRDefault="00D04F3C" w:rsidP="00704884">
      <w:pPr>
        <w:spacing w:after="0" w:line="480" w:lineRule="auto"/>
      </w:pPr>
      <w:r>
        <w:tab/>
      </w:r>
      <w:r w:rsidR="00174DF0" w:rsidRPr="00174DF0">
        <w:t>Sec. 2.</w:t>
      </w:r>
      <w:r>
        <w:t xml:space="preserve"> </w:t>
      </w:r>
      <w:r w:rsidR="00174DF0" w:rsidRPr="00174DF0">
        <w:t>Section 47-813 of the District of Columbia Official Code is amended to read as follows:</w:t>
      </w:r>
    </w:p>
    <w:p w14:paraId="7E79BFC0" w14:textId="4EAFE63C" w:rsidR="00174DF0" w:rsidRDefault="00D04F3C" w:rsidP="00704884">
      <w:pPr>
        <w:spacing w:after="0" w:line="480" w:lineRule="auto"/>
      </w:pPr>
      <w:r>
        <w:tab/>
      </w:r>
      <w:r w:rsidR="00174DF0">
        <w:t xml:space="preserve">(a) </w:t>
      </w:r>
      <w:r w:rsidR="00174DF0" w:rsidRPr="00174DF0">
        <w:t>Subsection (c-</w:t>
      </w:r>
      <w:proofErr w:type="gramStart"/>
      <w:r w:rsidR="00174DF0" w:rsidRPr="00174DF0">
        <w:t>9)(</w:t>
      </w:r>
      <w:proofErr w:type="gramEnd"/>
      <w:r w:rsidR="00174DF0" w:rsidRPr="00174DF0">
        <w:t>2) is amended as follows:</w:t>
      </w:r>
    </w:p>
    <w:p w14:paraId="3FA72C26" w14:textId="3E960CDA" w:rsidR="00174DF0" w:rsidRDefault="00D04F3C" w:rsidP="00704884">
      <w:pPr>
        <w:spacing w:after="0" w:line="480" w:lineRule="auto"/>
      </w:pPr>
      <w:r>
        <w:tab/>
      </w:r>
      <w:r>
        <w:tab/>
      </w:r>
      <w:r w:rsidR="00174DF0">
        <w:t>(1) Subparagraph (A) is amended to read as follows:</w:t>
      </w:r>
    </w:p>
    <w:p w14:paraId="17614376" w14:textId="66B10FD3" w:rsidR="00174DF0" w:rsidRDefault="00D04F3C" w:rsidP="00704884">
      <w:pPr>
        <w:spacing w:after="0" w:line="480" w:lineRule="auto"/>
      </w:pPr>
      <w:r>
        <w:tab/>
      </w:r>
      <w:r>
        <w:tab/>
      </w:r>
      <w:r>
        <w:tab/>
      </w:r>
      <w:r w:rsidR="00174DF0">
        <w:t>“</w:t>
      </w:r>
      <w:r w:rsidR="00260CB4">
        <w:t>(2)</w:t>
      </w:r>
      <w:r w:rsidR="00174DF0">
        <w:t xml:space="preserve">(A) </w:t>
      </w:r>
      <w:r w:rsidR="00174DF0" w:rsidRPr="00174DF0">
        <w:t>Except as otherwise provided in this paragraph and subject to paragraphs</w:t>
      </w:r>
      <w:r w:rsidR="00174DF0">
        <w:t xml:space="preserve"> </w:t>
      </w:r>
      <w:r w:rsidR="00174DF0" w:rsidRPr="00174DF0">
        <w:t>(4) and (5) of this subsection, Class 1A Property shall be comprised of:</w:t>
      </w:r>
    </w:p>
    <w:p w14:paraId="2FD35B2B" w14:textId="74FC3A72" w:rsidR="00174DF0" w:rsidRDefault="00D04F3C" w:rsidP="00704884">
      <w:pPr>
        <w:spacing w:after="0" w:line="480" w:lineRule="auto"/>
      </w:pPr>
      <w:r>
        <w:tab/>
      </w:r>
      <w:r>
        <w:tab/>
      </w:r>
      <w:r>
        <w:tab/>
      </w:r>
      <w:r>
        <w:tab/>
      </w:r>
      <w:r w:rsidR="00174DF0">
        <w:t>“(</w:t>
      </w:r>
      <w:proofErr w:type="spellStart"/>
      <w:r w:rsidR="00174DF0">
        <w:t>i</w:t>
      </w:r>
      <w:proofErr w:type="spellEnd"/>
      <w:r w:rsidR="00174DF0">
        <w:t>) R</w:t>
      </w:r>
      <w:r w:rsidR="00174DF0" w:rsidRPr="00174DF0">
        <w:t>esidential real property that is improved and its legal use is for</w:t>
      </w:r>
      <w:r w:rsidR="00174DF0">
        <w:t xml:space="preserve"> </w:t>
      </w:r>
      <w:proofErr w:type="spellStart"/>
      <w:r w:rsidR="00174DF0" w:rsidRPr="00174DF0">
        <w:t>nontransient</w:t>
      </w:r>
      <w:proofErr w:type="spellEnd"/>
      <w:r w:rsidR="00174DF0" w:rsidRPr="00174DF0">
        <w:t xml:space="preserve"> residential dwelling purposes, and that is not Class 1B Property; provided, that </w:t>
      </w:r>
      <w:r w:rsidR="00174DF0" w:rsidRPr="00174DF0">
        <w:lastRenderedPageBreak/>
        <w:t>such property may be used to host transient guests pursuant to an unexpired short-term rental license endorsement issued pursuant to § 30-201.04; or</w:t>
      </w:r>
    </w:p>
    <w:p w14:paraId="6534A947" w14:textId="1B597B85" w:rsidR="008F492E" w:rsidRDefault="00D04F3C" w:rsidP="00704884">
      <w:pPr>
        <w:spacing w:after="0" w:line="480" w:lineRule="auto"/>
      </w:pPr>
      <w:r>
        <w:tab/>
      </w:r>
      <w:r>
        <w:tab/>
      </w:r>
      <w:r>
        <w:tab/>
      </w:r>
      <w:r>
        <w:tab/>
      </w:r>
      <w:r w:rsidR="00174DF0">
        <w:t>“(ii) R</w:t>
      </w:r>
      <w:r w:rsidR="00174DF0" w:rsidRPr="00174DF0">
        <w:t xml:space="preserve">eal property </w:t>
      </w:r>
      <w:r w:rsidR="00AC2EB9">
        <w:t xml:space="preserve">or a portion of real property </w:t>
      </w:r>
      <w:r w:rsidR="00174DF0" w:rsidRPr="00174DF0">
        <w:t xml:space="preserve">for which a building permit has </w:t>
      </w:r>
      <w:r w:rsidR="00174DF0">
        <w:t xml:space="preserve">been </w:t>
      </w:r>
      <w:r w:rsidR="00174DF0" w:rsidRPr="00174DF0">
        <w:t>issued</w:t>
      </w:r>
      <w:r w:rsidR="008F492E">
        <w:t>:</w:t>
      </w:r>
    </w:p>
    <w:p w14:paraId="453AC94A" w14:textId="7B8370E1" w:rsidR="00C07F3A" w:rsidRDefault="00C07F3A" w:rsidP="00704884">
      <w:pPr>
        <w:spacing w:after="0" w:line="480" w:lineRule="auto"/>
        <w:ind w:firstLine="3600"/>
      </w:pPr>
      <w:r>
        <w:t>“(I)</w:t>
      </w:r>
      <w:r w:rsidR="00523198">
        <w:t xml:space="preserve"> </w:t>
      </w:r>
      <w:r>
        <w:t>T</w:t>
      </w:r>
      <w:r w:rsidR="00174DF0" w:rsidRPr="00174DF0">
        <w:t>o construct</w:t>
      </w:r>
      <w:r w:rsidR="00174DF0">
        <w:t xml:space="preserve"> </w:t>
      </w:r>
      <w:r w:rsidR="00174DF0" w:rsidRPr="00174DF0">
        <w:t>a new improvement</w:t>
      </w:r>
      <w:r w:rsidR="00ED1E85">
        <w:t xml:space="preserve"> for predominantly</w:t>
      </w:r>
      <w:r>
        <w:t xml:space="preserve"> </w:t>
      </w:r>
      <w:proofErr w:type="spellStart"/>
      <w:r>
        <w:t>nontransient</w:t>
      </w:r>
      <w:proofErr w:type="spellEnd"/>
      <w:r>
        <w:t xml:space="preserve"> residential dwelling purpose; or</w:t>
      </w:r>
    </w:p>
    <w:p w14:paraId="6E402B60" w14:textId="68294D08" w:rsidR="00174DF0" w:rsidRDefault="00C07F3A" w:rsidP="00704884">
      <w:pPr>
        <w:spacing w:after="0" w:line="480" w:lineRule="auto"/>
        <w:ind w:firstLine="3600"/>
      </w:pPr>
      <w:r>
        <w:t xml:space="preserve">“(II) To </w:t>
      </w:r>
      <w:r w:rsidR="00C0348C" w:rsidRPr="00C0348C">
        <w:t>substantially rehabilitate that portion or all of an existing improvement for exclusive</w:t>
      </w:r>
      <w:r w:rsidR="004617C6">
        <w:t>ly</w:t>
      </w:r>
      <w:r w:rsidR="00174DF0" w:rsidRPr="00174DF0">
        <w:t xml:space="preserve"> </w:t>
      </w:r>
      <w:proofErr w:type="spellStart"/>
      <w:r w:rsidR="00174DF0" w:rsidRPr="00174DF0">
        <w:t>nontransient</w:t>
      </w:r>
      <w:proofErr w:type="spellEnd"/>
      <w:r w:rsidR="00174DF0" w:rsidRPr="00174DF0">
        <w:t xml:space="preserve"> residential dwelling purposes</w:t>
      </w:r>
      <w:r w:rsidR="00374353">
        <w:t>.</w:t>
      </w:r>
      <w:r w:rsidR="003901B6">
        <w:t>”.</w:t>
      </w:r>
    </w:p>
    <w:p w14:paraId="765E0BA6" w14:textId="2B287EB3" w:rsidR="00174DF0" w:rsidRDefault="00D04F3C" w:rsidP="00704884">
      <w:pPr>
        <w:spacing w:after="0" w:line="480" w:lineRule="auto"/>
      </w:pPr>
      <w:r>
        <w:tab/>
      </w:r>
      <w:r>
        <w:tab/>
      </w:r>
      <w:r w:rsidR="00174DF0">
        <w:t>(2) Subparagraph (C) is amended by striking the phrase “</w:t>
      </w:r>
      <w:r w:rsidR="00174DF0" w:rsidRPr="00174DF0">
        <w:t>designated as</w:t>
      </w:r>
      <w:r w:rsidR="00174DF0">
        <w:t>” and inserting the phrase “designated solely as” in its place.</w:t>
      </w:r>
    </w:p>
    <w:p w14:paraId="0378D674" w14:textId="137D14A9" w:rsidR="00E50BFA" w:rsidRDefault="00D04F3C" w:rsidP="00704884">
      <w:pPr>
        <w:spacing w:after="0" w:line="480" w:lineRule="auto"/>
      </w:pPr>
      <w:r>
        <w:tab/>
      </w:r>
      <w:r w:rsidR="00E50BFA">
        <w:t xml:space="preserve">(b) </w:t>
      </w:r>
      <w:r w:rsidR="006F1681">
        <w:t>The lead-in language of s</w:t>
      </w:r>
      <w:r w:rsidR="00E50BFA">
        <w:t>ubsection (d-2) is amended by striking the phrase “</w:t>
      </w:r>
      <w:r w:rsidR="00E50BFA" w:rsidRPr="00E50BFA">
        <w:t>Class 3 Property or Class 4 Property</w:t>
      </w:r>
      <w:r w:rsidR="00E50BFA">
        <w:t>,” and inserting the phrase “Class 2 Property, Class 3 Property, or Class 4 Property,” in its place.</w:t>
      </w:r>
    </w:p>
    <w:p w14:paraId="64A6FC77" w14:textId="6E386C6A" w:rsidR="00174DF0" w:rsidRDefault="00D04F3C" w:rsidP="00704884">
      <w:pPr>
        <w:spacing w:after="0" w:line="480" w:lineRule="auto"/>
      </w:pPr>
      <w:r>
        <w:tab/>
      </w:r>
      <w:r w:rsidR="00174DF0">
        <w:t>(</w:t>
      </w:r>
      <w:r w:rsidR="00E50BFA">
        <w:t>c</w:t>
      </w:r>
      <w:r w:rsidR="00174DF0">
        <w:t xml:space="preserve">) </w:t>
      </w:r>
      <w:r w:rsidR="00E50BFA">
        <w:t>A new subsection (d-3) is added to read as follows:</w:t>
      </w:r>
    </w:p>
    <w:p w14:paraId="4E669CCA" w14:textId="408E4853" w:rsidR="00E50BFA" w:rsidRDefault="00D04F3C" w:rsidP="00704884">
      <w:pPr>
        <w:spacing w:after="0" w:line="480" w:lineRule="auto"/>
      </w:pPr>
      <w:r>
        <w:tab/>
      </w:r>
      <w:r w:rsidR="00E50BFA">
        <w:t>“(d-</w:t>
      </w:r>
      <w:proofErr w:type="gramStart"/>
      <w:r w:rsidR="00E50BFA">
        <w:t>3)(</w:t>
      </w:r>
      <w:proofErr w:type="gramEnd"/>
      <w:r w:rsidR="00E50BFA">
        <w:t xml:space="preserve">1) </w:t>
      </w:r>
      <w:r w:rsidR="00E50BFA" w:rsidRPr="00E50BFA">
        <w:t xml:space="preserve">If real property changes classification </w:t>
      </w:r>
      <w:r w:rsidR="009F1C95">
        <w:t xml:space="preserve">to Class 1A Property as defined in </w:t>
      </w:r>
      <w:r w:rsidR="00E50BFA" w:rsidRPr="00E50BFA">
        <w:t>subsection</w:t>
      </w:r>
      <w:r w:rsidR="00E50BFA">
        <w:t xml:space="preserve"> </w:t>
      </w:r>
      <w:r w:rsidR="00E50BFA" w:rsidRPr="00E50BFA">
        <w:t>(c-</w:t>
      </w:r>
      <w:proofErr w:type="gramStart"/>
      <w:r w:rsidR="00E50BFA" w:rsidRPr="00E50BFA">
        <w:t>9)(</w:t>
      </w:r>
      <w:proofErr w:type="gramEnd"/>
      <w:r w:rsidR="00E50BFA" w:rsidRPr="00E50BFA">
        <w:t>2)(A)(ii) during the period:</w:t>
      </w:r>
    </w:p>
    <w:p w14:paraId="5DB99B6C" w14:textId="24DAE8AF" w:rsidR="00E50BFA" w:rsidRDefault="00D04F3C" w:rsidP="00704884">
      <w:pPr>
        <w:spacing w:after="0" w:line="480" w:lineRule="auto"/>
      </w:pPr>
      <w:r>
        <w:tab/>
      </w:r>
      <w:r>
        <w:tab/>
      </w:r>
      <w:r>
        <w:tab/>
      </w:r>
      <w:proofErr w:type="gramStart"/>
      <w:r w:rsidR="00E50BFA">
        <w:t xml:space="preserve">“(A) </w:t>
      </w:r>
      <w:r w:rsidR="00E50BFA" w:rsidRPr="00E50BFA">
        <w:t>October</w:t>
      </w:r>
      <w:proofErr w:type="gramEnd"/>
      <w:r w:rsidR="00E50BFA" w:rsidRPr="00E50BFA">
        <w:t xml:space="preserve"> 1 through March 31 of the tax year, the newly</w:t>
      </w:r>
      <w:r w:rsidR="00E50BFA">
        <w:t xml:space="preserve"> </w:t>
      </w:r>
      <w:r w:rsidR="00E50BFA" w:rsidRPr="00E50BFA">
        <w:t xml:space="preserve">reclassified Class 1A Property, or </w:t>
      </w:r>
      <w:r w:rsidR="00D92F07">
        <w:t xml:space="preserve">the </w:t>
      </w:r>
      <w:r w:rsidR="00E50BFA" w:rsidRPr="00E50BFA">
        <w:t xml:space="preserve">portion thereof </w:t>
      </w:r>
      <w:r w:rsidR="00D92F07">
        <w:t xml:space="preserve">used exclusively </w:t>
      </w:r>
      <w:r w:rsidR="00E50BFA" w:rsidRPr="00E50BFA">
        <w:t xml:space="preserve">for residential </w:t>
      </w:r>
      <w:r w:rsidR="00D92F07">
        <w:t>purposes</w:t>
      </w:r>
      <w:r w:rsidR="00E50BFA" w:rsidRPr="00E50BFA">
        <w:t xml:space="preserve"> if already improved or assessed under § 47-829, shall be taxed at the Class 1A Property tax rate for the entire tax year; or</w:t>
      </w:r>
    </w:p>
    <w:p w14:paraId="5E348AC5" w14:textId="66A28D35" w:rsidR="00E50BFA" w:rsidRDefault="00D04F3C" w:rsidP="00704884">
      <w:pPr>
        <w:spacing w:after="0" w:line="480" w:lineRule="auto"/>
      </w:pPr>
      <w:r>
        <w:tab/>
      </w:r>
      <w:r>
        <w:tab/>
      </w:r>
      <w:r>
        <w:tab/>
      </w:r>
      <w:r w:rsidR="00E50BFA">
        <w:t xml:space="preserve">“(B) </w:t>
      </w:r>
      <w:r w:rsidR="00E50BFA" w:rsidRPr="00E50BFA">
        <w:t>April 1 through September 30 of the tax year, the newly</w:t>
      </w:r>
      <w:r w:rsidR="00E50BFA">
        <w:t xml:space="preserve"> </w:t>
      </w:r>
      <w:r w:rsidR="00E50BFA" w:rsidRPr="00E50BFA">
        <w:t xml:space="preserve">reclassified Class 1A Property, or </w:t>
      </w:r>
      <w:r w:rsidR="00D92F07">
        <w:t xml:space="preserve">the </w:t>
      </w:r>
      <w:r w:rsidR="00E50BFA" w:rsidRPr="00E50BFA">
        <w:t xml:space="preserve">portion thereof </w:t>
      </w:r>
      <w:r w:rsidR="00D92F07">
        <w:t>used</w:t>
      </w:r>
      <w:r w:rsidR="00E50BFA" w:rsidRPr="00E50BFA">
        <w:t xml:space="preserve"> exclusive</w:t>
      </w:r>
      <w:r w:rsidR="00D92F07">
        <w:t>ly for</w:t>
      </w:r>
      <w:r w:rsidR="00E50BFA" w:rsidRPr="00E50BFA">
        <w:t xml:space="preserve"> residential </w:t>
      </w:r>
      <w:r w:rsidR="00D92F07">
        <w:t>purposes</w:t>
      </w:r>
      <w:r w:rsidR="00E50BFA" w:rsidRPr="00E50BFA">
        <w:t xml:space="preserve"> if already </w:t>
      </w:r>
      <w:r w:rsidR="00E50BFA" w:rsidRPr="00E50BFA">
        <w:lastRenderedPageBreak/>
        <w:t>improved or assessed under § 47-829, shall be taxed at the Class 1A Property tax rate for the second installment only.</w:t>
      </w:r>
    </w:p>
    <w:p w14:paraId="7CC2D7BC" w14:textId="590E1DFF" w:rsidR="00E50BFA" w:rsidRDefault="00D04F3C" w:rsidP="00704884">
      <w:pPr>
        <w:spacing w:after="0" w:line="480" w:lineRule="auto"/>
      </w:pPr>
      <w:r>
        <w:tab/>
      </w:r>
      <w:r>
        <w:tab/>
      </w:r>
      <w:r w:rsidR="00E50BFA">
        <w:t xml:space="preserve">“(2) </w:t>
      </w:r>
      <w:r w:rsidR="00E50BFA" w:rsidRPr="00E50BFA">
        <w:t xml:space="preserve">The owner shall apply for a change of classification </w:t>
      </w:r>
      <w:r w:rsidR="001472FC">
        <w:t xml:space="preserve">to Class 1A Property </w:t>
      </w:r>
      <w:r w:rsidR="008367F7">
        <w:t>as defined in s</w:t>
      </w:r>
      <w:r w:rsidR="00E738D0" w:rsidRPr="00E50BFA">
        <w:t>ubsection</w:t>
      </w:r>
      <w:r w:rsidR="00E738D0">
        <w:t xml:space="preserve"> </w:t>
      </w:r>
      <w:r w:rsidR="00E738D0" w:rsidRPr="00E50BFA">
        <w:t>(c-</w:t>
      </w:r>
      <w:proofErr w:type="gramStart"/>
      <w:r w:rsidR="00E738D0" w:rsidRPr="00E50BFA">
        <w:t>9)(</w:t>
      </w:r>
      <w:proofErr w:type="gramEnd"/>
      <w:r w:rsidR="00E738D0" w:rsidRPr="00E50BFA">
        <w:t>2)(A)(ii)</w:t>
      </w:r>
      <w:r w:rsidR="008D202E">
        <w:t xml:space="preserve"> of this section</w:t>
      </w:r>
      <w:r w:rsidR="00E738D0">
        <w:t xml:space="preserve"> </w:t>
      </w:r>
      <w:r w:rsidR="00E50BFA" w:rsidRPr="00E50BFA">
        <w:t xml:space="preserve">and </w:t>
      </w:r>
      <w:r w:rsidR="00E51DA3">
        <w:t xml:space="preserve">shall </w:t>
      </w:r>
      <w:r w:rsidR="00E50BFA" w:rsidRPr="00E50BFA">
        <w:t xml:space="preserve">promptly provide complete documentation </w:t>
      </w:r>
      <w:r w:rsidR="00E738D0">
        <w:t>in a manner</w:t>
      </w:r>
      <w:r w:rsidR="00E738D0" w:rsidRPr="00E50BFA">
        <w:t xml:space="preserve"> </w:t>
      </w:r>
      <w:r w:rsidR="00E50BFA" w:rsidRPr="00E50BFA">
        <w:t>prescribed by the Chief Financial Officer to substantiate any</w:t>
      </w:r>
      <w:r w:rsidR="004E0FD3">
        <w:t xml:space="preserve"> such</w:t>
      </w:r>
      <w:r w:rsidR="00E50BFA" w:rsidRPr="00E50BFA">
        <w:t xml:space="preserve"> classification change before </w:t>
      </w:r>
      <w:r w:rsidR="004E0FD3">
        <w:t>it</w:t>
      </w:r>
      <w:r w:rsidR="00E50BFA" w:rsidRPr="00E50BFA">
        <w:t xml:space="preserve"> shall be effective.</w:t>
      </w:r>
    </w:p>
    <w:p w14:paraId="44E66F44" w14:textId="0DA1B5F4" w:rsidR="00E50BFA" w:rsidRDefault="00D04F3C" w:rsidP="00704884">
      <w:pPr>
        <w:spacing w:after="0" w:line="480" w:lineRule="auto"/>
      </w:pPr>
      <w:r>
        <w:tab/>
      </w:r>
      <w:r>
        <w:tab/>
      </w:r>
      <w:r w:rsidR="00E50BFA">
        <w:t xml:space="preserve">“(3) </w:t>
      </w:r>
      <w:r w:rsidR="00E50BFA" w:rsidRPr="00E50BFA">
        <w:t xml:space="preserve">A change in classification </w:t>
      </w:r>
      <w:r w:rsidR="00E51DA3">
        <w:t>to Class 1A Property as defined in</w:t>
      </w:r>
      <w:r w:rsidR="00E50BFA" w:rsidRPr="00E50BFA">
        <w:t xml:space="preserve"> subsection</w:t>
      </w:r>
      <w:r w:rsidR="00E50BFA">
        <w:t xml:space="preserve"> </w:t>
      </w:r>
      <w:r w:rsidR="00E50BFA" w:rsidRPr="00E50BFA">
        <w:t>(c-</w:t>
      </w:r>
      <w:proofErr w:type="gramStart"/>
      <w:r w:rsidR="00E50BFA" w:rsidRPr="00E50BFA">
        <w:t>9)(</w:t>
      </w:r>
      <w:proofErr w:type="gramEnd"/>
      <w:r w:rsidR="00E50BFA" w:rsidRPr="00E50BFA">
        <w:t>2)(A)(ii)</w:t>
      </w:r>
      <w:r w:rsidR="008D202E">
        <w:t xml:space="preserve"> of this section</w:t>
      </w:r>
      <w:r w:rsidR="00E50BFA" w:rsidRPr="00E50BFA">
        <w:t xml:space="preserve"> shall be effective beginning in the half tax year for which application is made under </w:t>
      </w:r>
      <w:r w:rsidR="00E50BFA">
        <w:t>paragraph (2) of this</w:t>
      </w:r>
      <w:r w:rsidR="00E50BFA" w:rsidRPr="00E50BFA">
        <w:t xml:space="preserve"> </w:t>
      </w:r>
      <w:r w:rsidR="00E50BFA">
        <w:t>subsection</w:t>
      </w:r>
      <w:r w:rsidR="00E50BFA" w:rsidRPr="00E50BFA">
        <w:t>.</w:t>
      </w:r>
    </w:p>
    <w:p w14:paraId="68F0C723" w14:textId="672BEAB1" w:rsidR="00BF723F" w:rsidRDefault="00D04F3C" w:rsidP="00704884">
      <w:pPr>
        <w:spacing w:after="0" w:line="480" w:lineRule="auto"/>
      </w:pPr>
      <w:r>
        <w:tab/>
      </w:r>
      <w:r>
        <w:tab/>
      </w:r>
      <w:r w:rsidR="00BF723F">
        <w:t xml:space="preserve">“(4) </w:t>
      </w:r>
      <w:r w:rsidR="00BF723F" w:rsidRPr="00E50BFA">
        <w:t xml:space="preserve">If </w:t>
      </w:r>
      <w:r w:rsidR="00BF723F">
        <w:t>change in</w:t>
      </w:r>
      <w:r w:rsidR="00BF723F" w:rsidRPr="00E50BFA">
        <w:t xml:space="preserve"> classification </w:t>
      </w:r>
      <w:r w:rsidR="00BF723F">
        <w:t xml:space="preserve">to Class 1A Property as defined in subsection (c-9)(2)(A)(ii) of this section </w:t>
      </w:r>
      <w:r w:rsidR="00BF723F" w:rsidRPr="00E50BFA">
        <w:t xml:space="preserve">is determined to be erroneous because the real property was not put to predominantly residential use </w:t>
      </w:r>
      <w:r w:rsidR="00BF723F">
        <w:t>by the earlier</w:t>
      </w:r>
      <w:r w:rsidR="00BF723F" w:rsidRPr="00E50BFA">
        <w:t xml:space="preserve"> of </w:t>
      </w:r>
      <w:r w:rsidR="00BF723F">
        <w:t xml:space="preserve">either the </w:t>
      </w:r>
      <w:r w:rsidR="00BF723F" w:rsidRPr="00E50BFA">
        <w:t>issuance of any new or amended certificate of occupancy (temporary or permanent) for any part of the improvement thereon</w:t>
      </w:r>
      <w:r w:rsidR="00BF723F">
        <w:t>,</w:t>
      </w:r>
      <w:r w:rsidR="00BF723F" w:rsidRPr="00E50BFA">
        <w:t xml:space="preserve"> or 3 years from issuance of the building permit, or the building permit expired and was not renewed within </w:t>
      </w:r>
      <w:r w:rsidR="003C7C33">
        <w:t>one</w:t>
      </w:r>
      <w:r w:rsidR="00BF723F" w:rsidRPr="00E50BFA">
        <w:t xml:space="preserve"> year, the Chief Financial Officer shall reclassify and tax the real property without limitation for each tax year or half tax year in which the real property was improperly classified as Class 1A Property, subject only to </w:t>
      </w:r>
      <w:r w:rsidR="00BF723F">
        <w:t>subsection (d-1)(5)(A-</w:t>
      </w:r>
      <w:proofErr w:type="spellStart"/>
      <w:r w:rsidR="00BF723F">
        <w:t>i</w:t>
      </w:r>
      <w:proofErr w:type="spellEnd"/>
      <w:r w:rsidR="00BF723F">
        <w:t>)</w:t>
      </w:r>
      <w:r w:rsidR="00BF723F" w:rsidRPr="00E50BFA">
        <w:t xml:space="preserve"> of this </w:t>
      </w:r>
      <w:r w:rsidR="00BF723F">
        <w:t>section</w:t>
      </w:r>
      <w:r w:rsidR="003C7C33">
        <w:t>,</w:t>
      </w:r>
      <w:r w:rsidR="00BF723F" w:rsidRPr="00E50BFA">
        <w:t xml:space="preserve"> if the property is determined to be Class 3 Property or Class 4 Property, or subsection (d-2) of this section. In the event of such reclassification, penalty and interest shall be added beginning from the day the correct amount of tax should have been due but not paid if the property had been properly classified.</w:t>
      </w:r>
    </w:p>
    <w:p w14:paraId="75A84918" w14:textId="1AD786EF" w:rsidR="00E50BFA" w:rsidRDefault="00D04F3C" w:rsidP="00704884">
      <w:pPr>
        <w:spacing w:after="0" w:line="480" w:lineRule="auto"/>
      </w:pPr>
      <w:r>
        <w:tab/>
      </w:r>
      <w:r>
        <w:tab/>
      </w:r>
      <w:r w:rsidR="00E50BFA">
        <w:t xml:space="preserve">“(5) </w:t>
      </w:r>
      <w:r w:rsidR="00E50BFA" w:rsidRPr="00E50BFA">
        <w:t>Within 45 days from the date of the notice of denial of Class 1A</w:t>
      </w:r>
      <w:r w:rsidR="00E50BFA">
        <w:t xml:space="preserve"> </w:t>
      </w:r>
      <w:r w:rsidR="00E50BFA" w:rsidRPr="00E50BFA">
        <w:t xml:space="preserve">Property reclassification under this subsection, the owner may petition for an administrative review of the </w:t>
      </w:r>
      <w:r w:rsidR="00E50BFA" w:rsidRPr="00E50BFA">
        <w:lastRenderedPageBreak/>
        <w:t>rescission or denial and appeal from a final determination thereof to the same extent as if the appeal were filed under § 47-825.01a(d)(2).</w:t>
      </w:r>
    </w:p>
    <w:p w14:paraId="5F8F3CBF" w14:textId="59603140" w:rsidR="00E50BFA" w:rsidRDefault="00D04F3C" w:rsidP="00704884">
      <w:pPr>
        <w:spacing w:after="0" w:line="480" w:lineRule="auto"/>
      </w:pPr>
      <w:r>
        <w:tab/>
      </w:r>
      <w:r>
        <w:tab/>
      </w:r>
      <w:r w:rsidR="00E50BFA">
        <w:t xml:space="preserve">“(6) </w:t>
      </w:r>
      <w:r w:rsidR="00E50BFA" w:rsidRPr="00E50BFA">
        <w:t>Notwithstanding the time limitations in paragraphs (</w:t>
      </w:r>
      <w:r w:rsidR="0021493F">
        <w:t>4</w:t>
      </w:r>
      <w:r w:rsidR="00E50BFA" w:rsidRPr="00E50BFA">
        <w:t>) and (</w:t>
      </w:r>
      <w:r w:rsidR="0021493F">
        <w:t>5</w:t>
      </w:r>
      <w:r w:rsidR="00E50BFA" w:rsidRPr="00E50BFA">
        <w:t>) of</w:t>
      </w:r>
      <w:r w:rsidR="00E50BFA">
        <w:t xml:space="preserve"> </w:t>
      </w:r>
      <w:r w:rsidR="00E50BFA" w:rsidRPr="00E50BFA">
        <w:t xml:space="preserve">this </w:t>
      </w:r>
      <w:r w:rsidR="003C7C33">
        <w:t>subsection</w:t>
      </w:r>
      <w:r w:rsidR="00E50BFA" w:rsidRPr="00E50BFA">
        <w:t>, the Chief Financial Officer</w:t>
      </w:r>
      <w:r w:rsidR="006C69AC">
        <w:t>,</w:t>
      </w:r>
      <w:r w:rsidR="00E50BFA" w:rsidRPr="00E50BFA">
        <w:t xml:space="preserve"> in his or her discretion</w:t>
      </w:r>
      <w:r w:rsidR="006C69AC">
        <w:t>,</w:t>
      </w:r>
      <w:r w:rsidR="00E50BFA" w:rsidRPr="00E50BFA">
        <w:t xml:space="preserve"> may grant an extension of time to comply</w:t>
      </w:r>
      <w:r w:rsidR="006C69AC">
        <w:t xml:space="preserve"> or waive </w:t>
      </w:r>
      <w:r w:rsidR="005814D5">
        <w:t xml:space="preserve">penalty and interest assessed pursuant to paragraph (4) of this </w:t>
      </w:r>
      <w:r w:rsidR="00DE0C13">
        <w:t>subsection</w:t>
      </w:r>
      <w:r w:rsidR="00E50BFA" w:rsidRPr="00E50BFA">
        <w:t xml:space="preserve"> to prevent an undue hardship to the owner.</w:t>
      </w:r>
    </w:p>
    <w:p w14:paraId="4B9C8A67" w14:textId="05B6D165" w:rsidR="00E06E52" w:rsidRDefault="00D04F3C" w:rsidP="00704884">
      <w:pPr>
        <w:spacing w:after="0" w:line="480" w:lineRule="auto"/>
      </w:pPr>
      <w:r>
        <w:tab/>
      </w:r>
      <w:r>
        <w:tab/>
      </w:r>
      <w:r w:rsidR="00E50BFA">
        <w:t xml:space="preserve">“(7) </w:t>
      </w:r>
      <w:r w:rsidR="00E50BFA" w:rsidRPr="00E50BFA">
        <w:t xml:space="preserve">The provisions of this </w:t>
      </w:r>
      <w:r w:rsidR="00495CA2">
        <w:t>subsection</w:t>
      </w:r>
      <w:r w:rsidR="00E50BFA" w:rsidRPr="00E50BFA">
        <w:t>, subsection (c-9)(2)(A)(ii) of this</w:t>
      </w:r>
      <w:r w:rsidR="00E50BFA">
        <w:t xml:space="preserve"> </w:t>
      </w:r>
      <w:r w:rsidR="00E50BFA" w:rsidRPr="00E50BFA">
        <w:t xml:space="preserve">section, and § 47-829 shall not supersede the requirement to timely file for mixed-use classification for the upcoming tax year pursuant to subsection (f) of this section, </w:t>
      </w:r>
      <w:r w:rsidR="0062118C" w:rsidRPr="00E50BFA">
        <w:t>whe</w:t>
      </w:r>
      <w:r w:rsidR="0062118C">
        <w:t>n</w:t>
      </w:r>
      <w:r w:rsidR="0062118C" w:rsidRPr="00E50BFA">
        <w:t xml:space="preserve"> </w:t>
      </w:r>
      <w:r w:rsidR="00E50BFA" w:rsidRPr="00E50BFA">
        <w:t>the annual assessment for such upcoming tax year is made under § 47-824 and the certificate of occupancy (final or temporary) was issued</w:t>
      </w:r>
      <w:r w:rsidR="00E50BFA">
        <w:t>.”.</w:t>
      </w:r>
    </w:p>
    <w:p w14:paraId="6F758022" w14:textId="757C8E1B" w:rsidR="00E50BFA" w:rsidRDefault="00D04F3C" w:rsidP="00704884">
      <w:pPr>
        <w:spacing w:after="0" w:line="480" w:lineRule="auto"/>
      </w:pPr>
      <w:r>
        <w:tab/>
      </w:r>
      <w:r w:rsidR="00E50BFA">
        <w:t>Sec. 3. Applicability.</w:t>
      </w:r>
    </w:p>
    <w:p w14:paraId="2AD04D3A" w14:textId="042AD41C" w:rsidR="00E50BFA" w:rsidRDefault="00D04F3C" w:rsidP="00704884">
      <w:pPr>
        <w:spacing w:after="0" w:line="480" w:lineRule="auto"/>
      </w:pPr>
      <w:r>
        <w:tab/>
      </w:r>
      <w:r w:rsidR="00BF723F">
        <w:t>This</w:t>
      </w:r>
      <w:r w:rsidR="00E50BFA">
        <w:t xml:space="preserve"> act shall apply as of </w:t>
      </w:r>
      <w:r w:rsidR="00981F0D">
        <w:t>January 28, 2026</w:t>
      </w:r>
      <w:r w:rsidR="00E50BFA">
        <w:t>.</w:t>
      </w:r>
    </w:p>
    <w:p w14:paraId="3F54B420" w14:textId="6731209D" w:rsidR="00D04F3C" w:rsidRDefault="00D04F3C" w:rsidP="00704884">
      <w:pPr>
        <w:spacing w:after="0" w:line="480" w:lineRule="auto"/>
      </w:pPr>
      <w:r>
        <w:tab/>
      </w:r>
      <w:r w:rsidRPr="00D04F3C">
        <w:t xml:space="preserve">Sec. </w:t>
      </w:r>
      <w:r>
        <w:t>4</w:t>
      </w:r>
      <w:r w:rsidRPr="00D04F3C">
        <w:t xml:space="preserve">. Fiscal impact statement. </w:t>
      </w:r>
    </w:p>
    <w:p w14:paraId="6723E322" w14:textId="53864BFC" w:rsidR="00E06E52" w:rsidRDefault="00D04F3C" w:rsidP="00704884">
      <w:pPr>
        <w:spacing w:after="0" w:line="480" w:lineRule="auto"/>
      </w:pPr>
      <w:r>
        <w:tab/>
      </w:r>
      <w:r w:rsidR="00015372" w:rsidRPr="00015372">
        <w:t xml:space="preserve">The Council adopts the fiscal impact statement of the Budget Director as the fiscal impact statement required by section 4a of the General Legislative Procedures Act of 1975, approved October 16, 2006 (120 Stat. 2038; D.C. Official Code § 1-301.47a).  </w:t>
      </w:r>
    </w:p>
    <w:p w14:paraId="5E10446B" w14:textId="446C478C" w:rsidR="00D04F3C" w:rsidRDefault="00D04F3C" w:rsidP="00704884">
      <w:pPr>
        <w:spacing w:after="0" w:line="480" w:lineRule="auto"/>
      </w:pPr>
      <w:r>
        <w:tab/>
        <w:t>Sec. 5. Effective date.</w:t>
      </w:r>
    </w:p>
    <w:p w14:paraId="4B34638D" w14:textId="5A4E4774" w:rsidR="00D04F3C" w:rsidRDefault="00D04F3C" w:rsidP="00704884">
      <w:pPr>
        <w:spacing w:after="0" w:line="480" w:lineRule="auto"/>
      </w:pPr>
      <w:r>
        <w:tab/>
      </w:r>
      <w:r w:rsidR="00A6627D" w:rsidRPr="00A6627D">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p w14:paraId="27390AC4" w14:textId="77777777" w:rsidR="00E06E52" w:rsidRPr="00E06E52" w:rsidRDefault="00E06E52" w:rsidP="00E06E52">
      <w:pPr>
        <w:spacing w:after="0" w:line="240" w:lineRule="auto"/>
        <w:contextualSpacing/>
        <w:rPr>
          <w:rFonts w:eastAsia="Calibri"/>
          <w:kern w:val="0"/>
          <w14:ligatures w14:val="none"/>
        </w:rPr>
      </w:pPr>
      <w:bookmarkStart w:id="1" w:name="_Hlk191976921"/>
      <w:bookmarkStart w:id="2" w:name="_Hlk191982735"/>
      <w:bookmarkStart w:id="3" w:name="_Hlk191982352"/>
      <w:bookmarkStart w:id="4" w:name="_Hlk185332896"/>
      <w:bookmarkStart w:id="5" w:name="_Hlk185332461"/>
    </w:p>
    <w:bookmarkEnd w:id="1"/>
    <w:bookmarkEnd w:id="2"/>
    <w:bookmarkEnd w:id="3"/>
    <w:bookmarkEnd w:id="4"/>
    <w:bookmarkEnd w:id="5"/>
    <w:p w14:paraId="5CFC430B" w14:textId="77777777" w:rsidR="00E06E52" w:rsidRPr="00174DF0" w:rsidRDefault="00E06E52" w:rsidP="00D702FE">
      <w:pPr>
        <w:spacing w:after="0" w:line="240" w:lineRule="auto"/>
      </w:pPr>
    </w:p>
    <w:sectPr w:rsidR="00E06E52" w:rsidRPr="00174DF0" w:rsidSect="00981F0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92E5" w14:textId="77777777" w:rsidR="00FD2B24" w:rsidRDefault="00FD2B24" w:rsidP="00D04F3C">
      <w:pPr>
        <w:spacing w:after="0" w:line="240" w:lineRule="auto"/>
      </w:pPr>
      <w:r>
        <w:separator/>
      </w:r>
    </w:p>
  </w:endnote>
  <w:endnote w:type="continuationSeparator" w:id="0">
    <w:p w14:paraId="6E06E81F" w14:textId="77777777" w:rsidR="00FD2B24" w:rsidRDefault="00FD2B24" w:rsidP="00D0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031059"/>
      <w:docPartObj>
        <w:docPartGallery w:val="Page Numbers (Bottom of Page)"/>
        <w:docPartUnique/>
      </w:docPartObj>
    </w:sdtPr>
    <w:sdtEndPr>
      <w:rPr>
        <w:noProof/>
      </w:rPr>
    </w:sdtEndPr>
    <w:sdtContent>
      <w:p w14:paraId="41A635E4" w14:textId="42483939" w:rsidR="00D04F3C" w:rsidRPr="00D04F3C" w:rsidRDefault="00D04F3C">
        <w:pPr>
          <w:pStyle w:val="Footer"/>
          <w:jc w:val="center"/>
        </w:pPr>
        <w:r w:rsidRPr="00D04F3C">
          <w:fldChar w:fldCharType="begin"/>
        </w:r>
        <w:r w:rsidRPr="00D04F3C">
          <w:instrText xml:space="preserve"> PAGE   \* MERGEFORMAT </w:instrText>
        </w:r>
        <w:r w:rsidRPr="00D04F3C">
          <w:fldChar w:fldCharType="separate"/>
        </w:r>
        <w:r w:rsidRPr="00D04F3C">
          <w:rPr>
            <w:noProof/>
          </w:rPr>
          <w:t>2</w:t>
        </w:r>
        <w:r w:rsidRPr="00D04F3C">
          <w:rPr>
            <w:noProof/>
          </w:rPr>
          <w:fldChar w:fldCharType="end"/>
        </w:r>
      </w:p>
    </w:sdtContent>
  </w:sdt>
  <w:p w14:paraId="73F98651" w14:textId="77777777" w:rsidR="00D04F3C" w:rsidRDefault="00D0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A292" w14:textId="77777777" w:rsidR="00FD2B24" w:rsidRDefault="00FD2B24" w:rsidP="00D04F3C">
      <w:pPr>
        <w:spacing w:after="0" w:line="240" w:lineRule="auto"/>
      </w:pPr>
      <w:r>
        <w:separator/>
      </w:r>
    </w:p>
  </w:footnote>
  <w:footnote w:type="continuationSeparator" w:id="0">
    <w:p w14:paraId="1BB70904" w14:textId="77777777" w:rsidR="00FD2B24" w:rsidRDefault="00FD2B24" w:rsidP="00D04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1DA5" w14:textId="2B7F350E" w:rsidR="00D702FE" w:rsidRDefault="00D702FE">
    <w:pPr>
      <w:pStyle w:val="Header"/>
      <w:rPr>
        <w:b/>
        <w:bCs/>
      </w:rPr>
    </w:pPr>
    <w:r>
      <w:rPr>
        <w:b/>
        <w:bCs/>
      </w:rPr>
      <w:tab/>
    </w:r>
  </w:p>
  <w:p w14:paraId="297DC21D" w14:textId="77777777" w:rsidR="00D702FE" w:rsidRDefault="00D702FE">
    <w:pPr>
      <w:pStyle w:val="Header"/>
      <w:rPr>
        <w:b/>
        <w:bCs/>
      </w:rPr>
    </w:pPr>
  </w:p>
  <w:p w14:paraId="268CFE42" w14:textId="77777777" w:rsidR="00D702FE" w:rsidRDefault="00D702FE">
    <w:pPr>
      <w:pStyle w:val="Header"/>
      <w:rPr>
        <w:b/>
        <w:bCs/>
      </w:rPr>
    </w:pPr>
  </w:p>
  <w:p w14:paraId="2D1E63FC" w14:textId="77777777" w:rsidR="00D702FE" w:rsidRPr="00D702FE" w:rsidRDefault="00D702FE">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wNTAwAiJTM0sTcyUdpeDU4uLM/DyQAkPjWgCH0ehsLQAAAA=="/>
  </w:docVars>
  <w:rsids>
    <w:rsidRoot w:val="00174DF0"/>
    <w:rsid w:val="00015372"/>
    <w:rsid w:val="00025CE5"/>
    <w:rsid w:val="00037FFD"/>
    <w:rsid w:val="00042607"/>
    <w:rsid w:val="000440FA"/>
    <w:rsid w:val="00067D57"/>
    <w:rsid w:val="00086BCC"/>
    <w:rsid w:val="000900C2"/>
    <w:rsid w:val="00091534"/>
    <w:rsid w:val="000C466E"/>
    <w:rsid w:val="000D4865"/>
    <w:rsid w:val="000D4974"/>
    <w:rsid w:val="000F33DF"/>
    <w:rsid w:val="00137D83"/>
    <w:rsid w:val="001450E6"/>
    <w:rsid w:val="001472FC"/>
    <w:rsid w:val="00166401"/>
    <w:rsid w:val="00174DF0"/>
    <w:rsid w:val="0018254A"/>
    <w:rsid w:val="00185034"/>
    <w:rsid w:val="001953C3"/>
    <w:rsid w:val="001A4BB3"/>
    <w:rsid w:val="001B7B45"/>
    <w:rsid w:val="001C58F8"/>
    <w:rsid w:val="001D5444"/>
    <w:rsid w:val="00210EE3"/>
    <w:rsid w:val="0021493F"/>
    <w:rsid w:val="002363B2"/>
    <w:rsid w:val="00260CB4"/>
    <w:rsid w:val="00283F32"/>
    <w:rsid w:val="002C5C0B"/>
    <w:rsid w:val="002D7C45"/>
    <w:rsid w:val="002E3AAC"/>
    <w:rsid w:val="002F2FBC"/>
    <w:rsid w:val="002F713C"/>
    <w:rsid w:val="00325409"/>
    <w:rsid w:val="00327A4D"/>
    <w:rsid w:val="00360466"/>
    <w:rsid w:val="00374353"/>
    <w:rsid w:val="003901B6"/>
    <w:rsid w:val="003907CD"/>
    <w:rsid w:val="003C7C33"/>
    <w:rsid w:val="003D3AE2"/>
    <w:rsid w:val="003D3B3A"/>
    <w:rsid w:val="00437563"/>
    <w:rsid w:val="004617C6"/>
    <w:rsid w:val="004623F0"/>
    <w:rsid w:val="00467D94"/>
    <w:rsid w:val="00493B00"/>
    <w:rsid w:val="00495CA2"/>
    <w:rsid w:val="004965D9"/>
    <w:rsid w:val="004B3415"/>
    <w:rsid w:val="004E0FD3"/>
    <w:rsid w:val="004F3772"/>
    <w:rsid w:val="0050261A"/>
    <w:rsid w:val="0051246D"/>
    <w:rsid w:val="00520B1A"/>
    <w:rsid w:val="00523198"/>
    <w:rsid w:val="00537FB2"/>
    <w:rsid w:val="00542222"/>
    <w:rsid w:val="00543B92"/>
    <w:rsid w:val="005814D5"/>
    <w:rsid w:val="00586442"/>
    <w:rsid w:val="005A7FED"/>
    <w:rsid w:val="005B3A6E"/>
    <w:rsid w:val="0062118C"/>
    <w:rsid w:val="00694266"/>
    <w:rsid w:val="006B4055"/>
    <w:rsid w:val="006C48F5"/>
    <w:rsid w:val="006C69AC"/>
    <w:rsid w:val="006F1681"/>
    <w:rsid w:val="00704884"/>
    <w:rsid w:val="00756982"/>
    <w:rsid w:val="0078285D"/>
    <w:rsid w:val="007A17DD"/>
    <w:rsid w:val="007C4FEC"/>
    <w:rsid w:val="007C7F0D"/>
    <w:rsid w:val="007E0A0C"/>
    <w:rsid w:val="00811F76"/>
    <w:rsid w:val="00812443"/>
    <w:rsid w:val="00831E6E"/>
    <w:rsid w:val="008367F7"/>
    <w:rsid w:val="0086353A"/>
    <w:rsid w:val="00867DF0"/>
    <w:rsid w:val="00887890"/>
    <w:rsid w:val="008A698A"/>
    <w:rsid w:val="008C2299"/>
    <w:rsid w:val="008D202E"/>
    <w:rsid w:val="008F492E"/>
    <w:rsid w:val="00910646"/>
    <w:rsid w:val="00925680"/>
    <w:rsid w:val="00930605"/>
    <w:rsid w:val="00937287"/>
    <w:rsid w:val="009632EC"/>
    <w:rsid w:val="0097657D"/>
    <w:rsid w:val="00980888"/>
    <w:rsid w:val="00981F0D"/>
    <w:rsid w:val="00984F61"/>
    <w:rsid w:val="009876E7"/>
    <w:rsid w:val="00995A1C"/>
    <w:rsid w:val="009B54C8"/>
    <w:rsid w:val="009F1C95"/>
    <w:rsid w:val="00A522B2"/>
    <w:rsid w:val="00A6627D"/>
    <w:rsid w:val="00A67091"/>
    <w:rsid w:val="00AA0903"/>
    <w:rsid w:val="00AC2EB9"/>
    <w:rsid w:val="00B11FB4"/>
    <w:rsid w:val="00B143F1"/>
    <w:rsid w:val="00B254D2"/>
    <w:rsid w:val="00B25589"/>
    <w:rsid w:val="00B43D90"/>
    <w:rsid w:val="00B57EEB"/>
    <w:rsid w:val="00B7186F"/>
    <w:rsid w:val="00B80E83"/>
    <w:rsid w:val="00BB7A22"/>
    <w:rsid w:val="00BC5E43"/>
    <w:rsid w:val="00BC6EE6"/>
    <w:rsid w:val="00BF1A3E"/>
    <w:rsid w:val="00BF3E2E"/>
    <w:rsid w:val="00BF723F"/>
    <w:rsid w:val="00C0348C"/>
    <w:rsid w:val="00C07F3A"/>
    <w:rsid w:val="00C1775E"/>
    <w:rsid w:val="00C25CC8"/>
    <w:rsid w:val="00C27A09"/>
    <w:rsid w:val="00C3470C"/>
    <w:rsid w:val="00C415C2"/>
    <w:rsid w:val="00CE1927"/>
    <w:rsid w:val="00CE2457"/>
    <w:rsid w:val="00D04F3C"/>
    <w:rsid w:val="00D101F2"/>
    <w:rsid w:val="00D30A62"/>
    <w:rsid w:val="00D34BA6"/>
    <w:rsid w:val="00D421D5"/>
    <w:rsid w:val="00D522A6"/>
    <w:rsid w:val="00D526B6"/>
    <w:rsid w:val="00D63DC5"/>
    <w:rsid w:val="00D702FE"/>
    <w:rsid w:val="00D92F07"/>
    <w:rsid w:val="00DD7470"/>
    <w:rsid w:val="00DE0C13"/>
    <w:rsid w:val="00DF078E"/>
    <w:rsid w:val="00DF2A5E"/>
    <w:rsid w:val="00E06E52"/>
    <w:rsid w:val="00E22A43"/>
    <w:rsid w:val="00E50BFA"/>
    <w:rsid w:val="00E51DA3"/>
    <w:rsid w:val="00E738D0"/>
    <w:rsid w:val="00E80D02"/>
    <w:rsid w:val="00EC1681"/>
    <w:rsid w:val="00ED1E85"/>
    <w:rsid w:val="00EE33FA"/>
    <w:rsid w:val="00EF21AB"/>
    <w:rsid w:val="00EF715D"/>
    <w:rsid w:val="00F21D8E"/>
    <w:rsid w:val="00F30787"/>
    <w:rsid w:val="00F462E2"/>
    <w:rsid w:val="00F543CA"/>
    <w:rsid w:val="00F56370"/>
    <w:rsid w:val="00F67086"/>
    <w:rsid w:val="00F80A18"/>
    <w:rsid w:val="00FC50A7"/>
    <w:rsid w:val="00FD2B24"/>
    <w:rsid w:val="00FE32F6"/>
    <w:rsid w:val="00FF2FC7"/>
    <w:rsid w:val="00FF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821B"/>
  <w15:chartTrackingRefBased/>
  <w15:docId w15:val="{8C7F9AA5-4638-48A4-AB84-9CD074C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semiHidden/>
    <w:unhideWhenUsed/>
    <w:qFormat/>
    <w:rsid w:val="00520B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0B1A"/>
    <w:rPr>
      <w:rFonts w:ascii="Times New Roman" w:hAnsi="Times New Roman"/>
      <w:sz w:val="20"/>
      <w:szCs w:val="20"/>
    </w:rPr>
  </w:style>
  <w:style w:type="character" w:styleId="LineNumber">
    <w:name w:val="line number"/>
    <w:basedOn w:val="DefaultParagraphFont"/>
    <w:uiPriority w:val="99"/>
    <w:semiHidden/>
    <w:unhideWhenUsed/>
    <w:qFormat/>
    <w:rsid w:val="00086BCC"/>
    <w:rPr>
      <w:rFonts w:ascii="Times New Roman" w:hAnsi="Times New Roman"/>
      <w:sz w:val="24"/>
    </w:rPr>
  </w:style>
  <w:style w:type="character" w:customStyle="1" w:styleId="Heading1Char">
    <w:name w:val="Heading 1 Char"/>
    <w:basedOn w:val="DefaultParagraphFont"/>
    <w:link w:val="Heading1"/>
    <w:uiPriority w:val="9"/>
    <w:rsid w:val="00174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DF0"/>
    <w:rPr>
      <w:rFonts w:eastAsiaTheme="majorEastAsia" w:cstheme="majorBidi"/>
      <w:color w:val="272727" w:themeColor="text1" w:themeTint="D8"/>
    </w:rPr>
  </w:style>
  <w:style w:type="paragraph" w:styleId="Title">
    <w:name w:val="Title"/>
    <w:basedOn w:val="Normal"/>
    <w:next w:val="Normal"/>
    <w:link w:val="TitleChar"/>
    <w:uiPriority w:val="10"/>
    <w:qFormat/>
    <w:rsid w:val="0017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DF0"/>
    <w:pPr>
      <w:spacing w:before="160"/>
      <w:jc w:val="center"/>
    </w:pPr>
    <w:rPr>
      <w:i/>
      <w:iCs/>
      <w:color w:val="404040" w:themeColor="text1" w:themeTint="BF"/>
    </w:rPr>
  </w:style>
  <w:style w:type="character" w:customStyle="1" w:styleId="QuoteChar">
    <w:name w:val="Quote Char"/>
    <w:basedOn w:val="DefaultParagraphFont"/>
    <w:link w:val="Quote"/>
    <w:uiPriority w:val="29"/>
    <w:rsid w:val="00174DF0"/>
    <w:rPr>
      <w:i/>
      <w:iCs/>
      <w:color w:val="404040" w:themeColor="text1" w:themeTint="BF"/>
    </w:rPr>
  </w:style>
  <w:style w:type="paragraph" w:styleId="ListParagraph">
    <w:name w:val="List Paragraph"/>
    <w:basedOn w:val="Normal"/>
    <w:uiPriority w:val="34"/>
    <w:qFormat/>
    <w:rsid w:val="00174DF0"/>
    <w:pPr>
      <w:ind w:left="720"/>
      <w:contextualSpacing/>
    </w:pPr>
  </w:style>
  <w:style w:type="character" w:styleId="IntenseEmphasis">
    <w:name w:val="Intense Emphasis"/>
    <w:basedOn w:val="DefaultParagraphFont"/>
    <w:uiPriority w:val="21"/>
    <w:qFormat/>
    <w:rsid w:val="00174DF0"/>
    <w:rPr>
      <w:i/>
      <w:iCs/>
      <w:color w:val="0F4761" w:themeColor="accent1" w:themeShade="BF"/>
    </w:rPr>
  </w:style>
  <w:style w:type="paragraph" w:styleId="IntenseQuote">
    <w:name w:val="Intense Quote"/>
    <w:basedOn w:val="Normal"/>
    <w:next w:val="Normal"/>
    <w:link w:val="IntenseQuoteChar"/>
    <w:uiPriority w:val="30"/>
    <w:qFormat/>
    <w:rsid w:val="0017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DF0"/>
    <w:rPr>
      <w:i/>
      <w:iCs/>
      <w:color w:val="0F4761" w:themeColor="accent1" w:themeShade="BF"/>
    </w:rPr>
  </w:style>
  <w:style w:type="character" w:styleId="IntenseReference">
    <w:name w:val="Intense Reference"/>
    <w:basedOn w:val="DefaultParagraphFont"/>
    <w:uiPriority w:val="32"/>
    <w:qFormat/>
    <w:rsid w:val="00174DF0"/>
    <w:rPr>
      <w:b/>
      <w:bCs/>
      <w:smallCaps/>
      <w:color w:val="0F4761" w:themeColor="accent1" w:themeShade="BF"/>
      <w:spacing w:val="5"/>
    </w:rPr>
  </w:style>
  <w:style w:type="paragraph" w:styleId="Header">
    <w:name w:val="header"/>
    <w:basedOn w:val="Normal"/>
    <w:link w:val="HeaderChar"/>
    <w:uiPriority w:val="99"/>
    <w:unhideWhenUsed/>
    <w:rsid w:val="00D04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F3C"/>
  </w:style>
  <w:style w:type="paragraph" w:styleId="Footer">
    <w:name w:val="footer"/>
    <w:basedOn w:val="Normal"/>
    <w:link w:val="FooterChar"/>
    <w:uiPriority w:val="99"/>
    <w:unhideWhenUsed/>
    <w:rsid w:val="00D04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F3C"/>
  </w:style>
  <w:style w:type="character" w:styleId="CommentReference">
    <w:name w:val="annotation reference"/>
    <w:basedOn w:val="DefaultParagraphFont"/>
    <w:uiPriority w:val="99"/>
    <w:semiHidden/>
    <w:unhideWhenUsed/>
    <w:rsid w:val="009B54C8"/>
    <w:rPr>
      <w:sz w:val="16"/>
      <w:szCs w:val="16"/>
    </w:rPr>
  </w:style>
  <w:style w:type="paragraph" w:styleId="CommentText">
    <w:name w:val="annotation text"/>
    <w:basedOn w:val="Normal"/>
    <w:link w:val="CommentTextChar"/>
    <w:uiPriority w:val="99"/>
    <w:unhideWhenUsed/>
    <w:rsid w:val="009B54C8"/>
    <w:pPr>
      <w:spacing w:line="240" w:lineRule="auto"/>
    </w:pPr>
    <w:rPr>
      <w:sz w:val="20"/>
      <w:szCs w:val="20"/>
    </w:rPr>
  </w:style>
  <w:style w:type="character" w:customStyle="1" w:styleId="CommentTextChar">
    <w:name w:val="Comment Text Char"/>
    <w:basedOn w:val="DefaultParagraphFont"/>
    <w:link w:val="CommentText"/>
    <w:uiPriority w:val="99"/>
    <w:rsid w:val="009B54C8"/>
    <w:rPr>
      <w:sz w:val="20"/>
      <w:szCs w:val="20"/>
    </w:rPr>
  </w:style>
  <w:style w:type="paragraph" w:styleId="CommentSubject">
    <w:name w:val="annotation subject"/>
    <w:basedOn w:val="CommentText"/>
    <w:next w:val="CommentText"/>
    <w:link w:val="CommentSubjectChar"/>
    <w:uiPriority w:val="99"/>
    <w:semiHidden/>
    <w:unhideWhenUsed/>
    <w:rsid w:val="009B54C8"/>
    <w:rPr>
      <w:b/>
      <w:bCs/>
    </w:rPr>
  </w:style>
  <w:style w:type="character" w:customStyle="1" w:styleId="CommentSubjectChar">
    <w:name w:val="Comment Subject Char"/>
    <w:basedOn w:val="CommentTextChar"/>
    <w:link w:val="CommentSubject"/>
    <w:uiPriority w:val="99"/>
    <w:semiHidden/>
    <w:rsid w:val="009B54C8"/>
    <w:rPr>
      <w:b/>
      <w:bCs/>
      <w:sz w:val="20"/>
      <w:szCs w:val="20"/>
    </w:rPr>
  </w:style>
  <w:style w:type="paragraph" w:styleId="Revision">
    <w:name w:val="Revision"/>
    <w:hidden/>
    <w:uiPriority w:val="99"/>
    <w:semiHidden/>
    <w:rsid w:val="00042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301CF-8976-45DD-8623-9EFDFA8A5BCE}">
  <ds:schemaRefs>
    <ds:schemaRef ds:uri="http://schemas.microsoft.com/sharepoint/v3/contenttype/forms"/>
  </ds:schemaRefs>
</ds:datastoreItem>
</file>

<file path=customXml/itemProps2.xml><?xml version="1.0" encoding="utf-8"?>
<ds:datastoreItem xmlns:ds="http://schemas.openxmlformats.org/officeDocument/2006/customXml" ds:itemID="{7F0ACED5-FE9D-4092-B0AD-894AFB87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DD703-B677-41B7-B6D0-8A2550873E47}">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4.xml><?xml version="1.0" encoding="utf-8"?>
<ds:datastoreItem xmlns:ds="http://schemas.openxmlformats.org/officeDocument/2006/customXml" ds:itemID="{78BA1570-B6A4-4BF9-A70E-42CED5DA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1015</Words>
  <Characters>5206</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Council of the District of Columbia</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Stum</dc:creator>
  <cp:keywords/>
  <dc:description/>
  <cp:lastModifiedBy>Stum, Blaine (Council)</cp:lastModifiedBy>
  <cp:revision>17</cp:revision>
  <cp:lastPrinted>2025-03-03T16:08:00Z</cp:lastPrinted>
  <dcterms:created xsi:type="dcterms:W3CDTF">2025-03-03T15:52:00Z</dcterms:created>
  <dcterms:modified xsi:type="dcterms:W3CDTF">2026-01-27T21:15:00Z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y fmtid="{D5CDD505-2E9C-101B-9397-08002B2CF9AE}" pid="4" name="GrammarlyDocumentId">
    <vt:lpwstr>121a6b97-1624-47e1-b82a-433e1324064c</vt:lpwstr>
  </property>
</Properties>
</file>